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51" w:rsidRDefault="002C1051">
      <w:pPr>
        <w:rPr>
          <w:rFonts w:ascii="黑体" w:eastAsia="黑体" w:hAnsi="黑体"/>
          <w:sz w:val="32"/>
          <w:szCs w:val="32"/>
        </w:rPr>
      </w:pPr>
      <w:r w:rsidRPr="002C1051">
        <w:rPr>
          <w:rFonts w:ascii="黑体" w:eastAsia="黑体" w:hAnsi="黑体" w:hint="eastAsia"/>
          <w:sz w:val="32"/>
          <w:szCs w:val="32"/>
        </w:rPr>
        <w:t>附件2</w:t>
      </w:r>
    </w:p>
    <w:p w:rsidR="002C1051" w:rsidRPr="002C1051" w:rsidRDefault="002C1051" w:rsidP="002C105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2C1051">
        <w:rPr>
          <w:rFonts w:ascii="方正小标宋简体" w:eastAsia="方正小标宋简体" w:hAnsi="黑体" w:hint="eastAsia"/>
          <w:sz w:val="44"/>
          <w:szCs w:val="44"/>
        </w:rPr>
        <w:t>吉林省林业和草原局</w:t>
      </w:r>
    </w:p>
    <w:p w:rsidR="002C1051" w:rsidRPr="002C1051" w:rsidRDefault="002C1051" w:rsidP="002C105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2C1051">
        <w:rPr>
          <w:rFonts w:ascii="方正小标宋简体" w:eastAsia="方正小标宋简体" w:hAnsi="黑体" w:hint="eastAsia"/>
          <w:sz w:val="44"/>
          <w:szCs w:val="44"/>
        </w:rPr>
        <w:t>关于有序推动林草复工复产、支持经济社会发展的若干政策措施</w:t>
      </w:r>
    </w:p>
    <w:bookmarkEnd w:id="0"/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为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全面落实党中央、国务院决策部署和省委、省政府工作要求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，在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疫情防控条件下，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支持林草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行业和各类经济主体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尽快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复工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复产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，服务全省经济社会发展，制定如下政策措施：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 xml:space="preserve"> 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一、</w:t>
      </w:r>
      <w:r w:rsidRPr="00081BB7">
        <w:rPr>
          <w:rFonts w:ascii="仿宋" w:eastAsia="仿宋" w:hAnsi="仿宋" w:hint="eastAsia"/>
          <w:b/>
          <w:bCs/>
          <w:sz w:val="32"/>
          <w:szCs w:val="32"/>
          <w:lang w:bidi="en-US"/>
        </w:rPr>
        <w:t>对因疫情影响没有完成造林绿化设计而又具备造林绿化条件的地块，允许进行简易设计，说明造林绿化面积、土壤、树种、苗木品种和规格等情况，由造林绿化设计审核机关进行预审，待造林绿化结束后再补办相关手续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二、</w:t>
      </w:r>
      <w:r w:rsidRPr="00CD4757">
        <w:rPr>
          <w:rFonts w:ascii="仿宋" w:eastAsia="仿宋" w:hAnsi="仿宋" w:hint="eastAsia"/>
          <w:b/>
          <w:bCs/>
          <w:sz w:val="32"/>
          <w:szCs w:val="32"/>
          <w:lang w:bidi="en-US"/>
        </w:rPr>
        <w:t>对需要招标的造林绿化项目，在合法合规基础上，尽量简化环节、压缩时限，加快实施进度。</w:t>
      </w:r>
    </w:p>
    <w:p w:rsidR="002C1051" w:rsidRPr="00CD4757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三、</w:t>
      </w:r>
      <w:r w:rsidRPr="00CD4757">
        <w:rPr>
          <w:rFonts w:ascii="仿宋" w:eastAsia="仿宋" w:hAnsi="仿宋" w:hint="eastAsia"/>
          <w:b/>
          <w:bCs/>
          <w:sz w:val="32"/>
          <w:szCs w:val="32"/>
          <w:lang w:bidi="en-US"/>
        </w:rPr>
        <w:t>对已完成造林绿化设计，但由于疫情管控，原定苗木运不到现地的，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允许</w:t>
      </w:r>
      <w:r w:rsidRPr="00CD4757">
        <w:rPr>
          <w:rFonts w:ascii="仿宋" w:eastAsia="仿宋" w:hAnsi="仿宋" w:hint="eastAsia"/>
          <w:b/>
          <w:bCs/>
          <w:sz w:val="32"/>
          <w:szCs w:val="32"/>
          <w:lang w:bidi="en-US"/>
        </w:rPr>
        <w:t>按照适地适树、乡土树种、苗木质量不降低的原则，对造林用苗品种、规格适当进行调整。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四、</w:t>
      </w:r>
      <w:r w:rsidR="00E32269">
        <w:rPr>
          <w:rFonts w:ascii="仿宋" w:eastAsia="仿宋" w:hAnsi="仿宋" w:hint="eastAsia"/>
          <w:b/>
          <w:bCs/>
          <w:sz w:val="32"/>
          <w:szCs w:val="32"/>
          <w:lang w:bidi="en-US"/>
        </w:rPr>
        <w:t>建设</w:t>
      </w:r>
      <w:r w:rsidR="00E32269">
        <w:rPr>
          <w:rFonts w:ascii="仿宋" w:eastAsia="仿宋" w:hAnsi="仿宋"/>
          <w:b/>
          <w:bCs/>
          <w:sz w:val="32"/>
          <w:szCs w:val="32"/>
          <w:lang w:bidi="en-US"/>
        </w:rPr>
        <w:t>项目使用林</w:t>
      </w:r>
      <w:r w:rsidR="00E32269">
        <w:rPr>
          <w:rFonts w:ascii="仿宋" w:eastAsia="仿宋" w:hAnsi="仿宋" w:hint="eastAsia"/>
          <w:b/>
          <w:bCs/>
          <w:sz w:val="32"/>
          <w:szCs w:val="32"/>
          <w:lang w:bidi="en-US"/>
        </w:rPr>
        <w:t>地</w:t>
      </w:r>
      <w:r w:rsidR="00E32269">
        <w:rPr>
          <w:rFonts w:ascii="仿宋" w:eastAsia="仿宋" w:hAnsi="仿宋"/>
          <w:b/>
          <w:bCs/>
          <w:sz w:val="32"/>
          <w:szCs w:val="32"/>
          <w:lang w:bidi="en-US"/>
        </w:rPr>
        <w:t>草地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实行网上申报、网上审查、网上出具行政许可，对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确实无法通过网上申报的涉密类、矿山类项目，做好宣传解释，加紧完成前期准备，确保具备条件立即启动。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五、对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疫情防控项目使用林地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草原的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，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可先开工后履行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lastRenderedPageBreak/>
        <w:t>审核审批程序。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六、对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涉疫地区重大项目、公共事业、民生工程等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使用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林地草原的，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非必要件可容缺，居家办公结束后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一个月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内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补交纸质材料及容缺件。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七、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对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需要省林草局出具使用林地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草地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现场查验表的，委托当地林草主管部门出具。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八、</w:t>
      </w:r>
      <w:r w:rsidRPr="00186CD7">
        <w:rPr>
          <w:rFonts w:ascii="仿宋" w:eastAsia="仿宋" w:hAnsi="仿宋" w:hint="eastAsia"/>
          <w:b/>
          <w:bCs/>
          <w:sz w:val="32"/>
          <w:szCs w:val="32"/>
          <w:lang w:bidi="en-US"/>
        </w:rPr>
        <w:t>对涉疫地区重大项目、公共事业、民生工程等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申请使用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草原的，</w:t>
      </w:r>
      <w:r w:rsidRPr="00B617C0">
        <w:rPr>
          <w:rFonts w:ascii="仿宋" w:eastAsia="仿宋" w:hAnsi="仿宋" w:hint="eastAsia"/>
          <w:b/>
          <w:bCs/>
          <w:sz w:val="32"/>
          <w:szCs w:val="32"/>
          <w:lang w:bidi="en-US"/>
        </w:rPr>
        <w:t>申请人作出承诺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后</w:t>
      </w:r>
      <w:r w:rsidRPr="00B617C0">
        <w:rPr>
          <w:rFonts w:ascii="仿宋" w:eastAsia="仿宋" w:hAnsi="仿宋" w:hint="eastAsia"/>
          <w:b/>
          <w:bCs/>
          <w:sz w:val="32"/>
          <w:szCs w:val="32"/>
          <w:lang w:bidi="en-US"/>
        </w:rPr>
        <w:t>，可缓缴草原植被恢复费，待恢复正常生产生活秩序后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的</w:t>
      </w:r>
      <w:r w:rsidRPr="00B617C0">
        <w:rPr>
          <w:rFonts w:ascii="仿宋" w:eastAsia="仿宋" w:hAnsi="仿宋" w:hint="eastAsia"/>
          <w:b/>
          <w:bCs/>
          <w:sz w:val="32"/>
          <w:szCs w:val="32"/>
          <w:lang w:bidi="en-US"/>
        </w:rPr>
        <w:t>一个月内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，</w:t>
      </w:r>
      <w:r w:rsidRPr="00B617C0">
        <w:rPr>
          <w:rFonts w:ascii="仿宋" w:eastAsia="仿宋" w:hAnsi="仿宋" w:hint="eastAsia"/>
          <w:b/>
          <w:bCs/>
          <w:sz w:val="32"/>
          <w:szCs w:val="32"/>
          <w:lang w:bidi="en-US"/>
        </w:rPr>
        <w:t>补缴草原植被恢复费。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九、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疫情期间，各地林木采伐限额优先保障疫情灾区和复工复产的需要。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对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急需清理的松材线虫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病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疫木和枯黄枯死松科树木所需采伐限额，符合规定要求并使用省级预留的，启动绿色通道领导签批模式，后报局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党组会、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局务会</w:t>
      </w:r>
      <w:r w:rsidRPr="000627A2">
        <w:rPr>
          <w:rFonts w:ascii="仿宋" w:eastAsia="仿宋" w:hAnsi="仿宋" w:hint="eastAsia"/>
          <w:b/>
          <w:bCs/>
          <w:sz w:val="32"/>
          <w:szCs w:val="32"/>
          <w:lang w:bidi="en-US"/>
        </w:rPr>
        <w:t>追认，保证林木清理任务正常开展。重点林区采伐调查设计外业审核全部委托各驻局办事处负责，确保不影响年度采伐工作进度和安排。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十、</w:t>
      </w:r>
      <w:r w:rsidRPr="00592BC9">
        <w:rPr>
          <w:rFonts w:ascii="仿宋" w:eastAsia="仿宋" w:hAnsi="仿宋" w:hint="eastAsia"/>
          <w:b/>
          <w:bCs/>
          <w:sz w:val="32"/>
          <w:szCs w:val="32"/>
          <w:lang w:bidi="en-US"/>
        </w:rPr>
        <w:t>对利用陆生野生动物加工中成药行政许可实行网上申请，在审批要件齐全的情况下，企业可在签署承诺书后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，</w:t>
      </w:r>
      <w:r w:rsidRPr="00592BC9">
        <w:rPr>
          <w:rFonts w:ascii="仿宋" w:eastAsia="仿宋" w:hAnsi="仿宋" w:hint="eastAsia"/>
          <w:b/>
          <w:bCs/>
          <w:sz w:val="32"/>
          <w:szCs w:val="32"/>
          <w:lang w:bidi="en-US"/>
        </w:rPr>
        <w:t>先开工后履行使用陆生野生动物制品审核审批程序。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十一、对</w:t>
      </w:r>
      <w:r w:rsidRPr="00592BC9">
        <w:rPr>
          <w:rFonts w:ascii="仿宋" w:eastAsia="仿宋" w:hAnsi="仿宋" w:hint="eastAsia"/>
          <w:b/>
          <w:bCs/>
          <w:sz w:val="32"/>
          <w:szCs w:val="32"/>
          <w:lang w:bidi="en-US"/>
        </w:rPr>
        <w:t>确需现地核查陆生野生动物制品封装情况的，委托当地林草主管部门出具审核意见。</w:t>
      </w:r>
    </w:p>
    <w:p w:rsidR="002C1051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lastRenderedPageBreak/>
        <w:t>十二、对</w:t>
      </w:r>
      <w:r w:rsidRPr="00592BC9">
        <w:rPr>
          <w:rFonts w:ascii="仿宋" w:eastAsia="仿宋" w:hAnsi="仿宋" w:hint="eastAsia"/>
          <w:b/>
          <w:bCs/>
          <w:sz w:val="32"/>
          <w:szCs w:val="32"/>
          <w:lang w:bidi="en-US"/>
        </w:rPr>
        <w:t>国家、省及地方重点项目及松材线虫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病</w:t>
      </w:r>
      <w:r w:rsidRPr="00592BC9">
        <w:rPr>
          <w:rFonts w:ascii="仿宋" w:eastAsia="仿宋" w:hAnsi="仿宋" w:hint="eastAsia"/>
          <w:b/>
          <w:bCs/>
          <w:sz w:val="32"/>
          <w:szCs w:val="32"/>
          <w:lang w:bidi="en-US"/>
        </w:rPr>
        <w:t>防控工作涉及国家二级保护陆生植物采集行政许可，允许要件齐全的情况下，先开工后补批。</w:t>
      </w:r>
    </w:p>
    <w:p w:rsidR="002C1051" w:rsidRPr="001554C0" w:rsidRDefault="002C1051" w:rsidP="002C1051">
      <w:pPr>
        <w:spacing w:line="600" w:lineRule="exact"/>
        <w:ind w:firstLineChars="221" w:firstLine="710"/>
        <w:rPr>
          <w:rFonts w:ascii="仿宋" w:eastAsia="仿宋" w:hAnsi="仿宋"/>
          <w:b/>
          <w:bCs/>
          <w:sz w:val="32"/>
          <w:szCs w:val="32"/>
          <w:lang w:bidi="en-US"/>
        </w:rPr>
      </w:pP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本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政策措施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仅在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疫情防控期间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有效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  <w:lang w:bidi="en-US"/>
        </w:rPr>
        <w:t>将视疫情防控情况适时</w:t>
      </w:r>
      <w:r>
        <w:rPr>
          <w:rFonts w:ascii="仿宋" w:eastAsia="仿宋" w:hAnsi="仿宋"/>
          <w:b/>
          <w:bCs/>
          <w:sz w:val="32"/>
          <w:szCs w:val="32"/>
          <w:lang w:bidi="en-US"/>
        </w:rPr>
        <w:t>进行调整。</w:t>
      </w:r>
    </w:p>
    <w:p w:rsidR="002C1051" w:rsidRPr="002C1051" w:rsidRDefault="002C1051" w:rsidP="002C1051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2C1051" w:rsidRPr="002C10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14" w:rsidRDefault="00755914" w:rsidP="002C1051">
      <w:r>
        <w:separator/>
      </w:r>
    </w:p>
  </w:endnote>
  <w:endnote w:type="continuationSeparator" w:id="0">
    <w:p w:rsidR="00755914" w:rsidRDefault="00755914" w:rsidP="002C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650399"/>
      <w:docPartObj>
        <w:docPartGallery w:val="Page Numbers (Bottom of Page)"/>
        <w:docPartUnique/>
      </w:docPartObj>
    </w:sdtPr>
    <w:sdtEndPr/>
    <w:sdtContent>
      <w:p w:rsidR="0078679F" w:rsidRDefault="00786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35" w:rsidRPr="003A1635">
          <w:rPr>
            <w:noProof/>
            <w:lang w:val="zh-CN"/>
          </w:rPr>
          <w:t>2</w:t>
        </w:r>
        <w:r>
          <w:fldChar w:fldCharType="end"/>
        </w:r>
      </w:p>
    </w:sdtContent>
  </w:sdt>
  <w:p w:rsidR="0078679F" w:rsidRDefault="00786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14" w:rsidRDefault="00755914" w:rsidP="002C1051">
      <w:r>
        <w:separator/>
      </w:r>
    </w:p>
  </w:footnote>
  <w:footnote w:type="continuationSeparator" w:id="0">
    <w:p w:rsidR="00755914" w:rsidRDefault="00755914" w:rsidP="002C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B2"/>
    <w:rsid w:val="002C1051"/>
    <w:rsid w:val="003A1635"/>
    <w:rsid w:val="00586DB2"/>
    <w:rsid w:val="006A4376"/>
    <w:rsid w:val="00755914"/>
    <w:rsid w:val="0078679F"/>
    <w:rsid w:val="008475D7"/>
    <w:rsid w:val="00E32269"/>
    <w:rsid w:val="00E95843"/>
    <w:rsid w:val="00E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0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10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05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10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bgs_0006</dc:creator>
  <cp:keywords/>
  <dc:description/>
  <cp:lastModifiedBy>WIN</cp:lastModifiedBy>
  <cp:revision>8</cp:revision>
  <dcterms:created xsi:type="dcterms:W3CDTF">2022-04-24T02:37:00Z</dcterms:created>
  <dcterms:modified xsi:type="dcterms:W3CDTF">2022-04-30T07:48:00Z</dcterms:modified>
</cp:coreProperties>
</file>