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EB" w:rsidRDefault="00236CEB" w:rsidP="00236CEB">
      <w:pPr>
        <w:jc w:val="center"/>
        <w:rPr>
          <w:b/>
          <w:sz w:val="36"/>
          <w:szCs w:val="36"/>
        </w:rPr>
      </w:pPr>
    </w:p>
    <w:p w:rsidR="00671DE5" w:rsidRDefault="00236CEB" w:rsidP="00236CEB">
      <w:pPr>
        <w:jc w:val="center"/>
        <w:rPr>
          <w:b/>
          <w:sz w:val="36"/>
          <w:szCs w:val="36"/>
        </w:rPr>
      </w:pPr>
      <w:r w:rsidRPr="00236CEB">
        <w:rPr>
          <w:rFonts w:hint="eastAsia"/>
          <w:b/>
          <w:sz w:val="36"/>
          <w:szCs w:val="36"/>
        </w:rPr>
        <w:t>松材线虫病监测调查</w:t>
      </w:r>
      <w:r w:rsidR="00F47CE5">
        <w:rPr>
          <w:rFonts w:hint="eastAsia"/>
          <w:b/>
          <w:sz w:val="36"/>
          <w:szCs w:val="36"/>
        </w:rPr>
        <w:t>及检疫检验</w:t>
      </w:r>
      <w:r w:rsidRPr="00236CEB">
        <w:rPr>
          <w:rFonts w:hint="eastAsia"/>
          <w:b/>
          <w:sz w:val="36"/>
          <w:szCs w:val="36"/>
        </w:rPr>
        <w:t>技术</w:t>
      </w:r>
    </w:p>
    <w:p w:rsidR="00236CEB" w:rsidRDefault="00236CEB" w:rsidP="00236CEB">
      <w:pPr>
        <w:rPr>
          <w:b/>
          <w:sz w:val="36"/>
          <w:szCs w:val="36"/>
        </w:rPr>
      </w:pPr>
    </w:p>
    <w:p w:rsidR="00236CEB" w:rsidRPr="00451106" w:rsidRDefault="00236CEB" w:rsidP="00451106">
      <w:pPr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做好松材线虫病重大疫情监测普查是有效预防其传入的</w:t>
      </w:r>
      <w:r w:rsidRPr="0044073A">
        <w:rPr>
          <w:rFonts w:hint="eastAsia"/>
          <w:sz w:val="28"/>
          <w:szCs w:val="28"/>
          <w:shd w:val="clear" w:color="auto" w:fill="FFFFFF"/>
        </w:rPr>
        <w:t>基础</w:t>
      </w:r>
      <w:r>
        <w:rPr>
          <w:rFonts w:hint="eastAsia"/>
          <w:sz w:val="28"/>
          <w:szCs w:val="28"/>
          <w:shd w:val="clear" w:color="auto" w:fill="FFFFFF"/>
        </w:rPr>
        <w:t>和</w:t>
      </w:r>
      <w:r w:rsidRPr="0044073A">
        <w:rPr>
          <w:rFonts w:hint="eastAsia"/>
          <w:sz w:val="28"/>
          <w:szCs w:val="28"/>
          <w:shd w:val="clear" w:color="auto" w:fill="FFFFFF"/>
        </w:rPr>
        <w:t>首要环节。</w:t>
      </w:r>
      <w:r w:rsidR="00F85256">
        <w:rPr>
          <w:rFonts w:hint="eastAsia"/>
          <w:sz w:val="28"/>
          <w:szCs w:val="28"/>
          <w:shd w:val="clear" w:color="auto" w:fill="FFFFFF"/>
        </w:rPr>
        <w:t>通过监测调查，</w:t>
      </w:r>
      <w:r w:rsidR="00451106">
        <w:rPr>
          <w:rFonts w:hint="eastAsia"/>
          <w:color w:val="000000"/>
          <w:sz w:val="28"/>
          <w:szCs w:val="28"/>
          <w:shd w:val="clear" w:color="auto" w:fill="FFFFFF"/>
        </w:rPr>
        <w:t>一是</w:t>
      </w:r>
      <w:r w:rsidR="00451106" w:rsidRPr="00236CEB">
        <w:rPr>
          <w:rFonts w:hint="eastAsia"/>
          <w:color w:val="000000"/>
          <w:sz w:val="28"/>
          <w:szCs w:val="28"/>
          <w:shd w:val="clear" w:color="auto" w:fill="FFFFFF"/>
        </w:rPr>
        <w:t>在林间可以初步判断</w:t>
      </w:r>
      <w:r w:rsidR="00F85256">
        <w:rPr>
          <w:rFonts w:hint="eastAsia"/>
          <w:color w:val="000000"/>
          <w:sz w:val="28"/>
          <w:szCs w:val="28"/>
          <w:shd w:val="clear" w:color="auto" w:fill="FFFFFF"/>
        </w:rPr>
        <w:t>枯萎的松树</w:t>
      </w:r>
      <w:r w:rsidR="00451106">
        <w:rPr>
          <w:rFonts w:hint="eastAsia"/>
          <w:color w:val="000000"/>
          <w:sz w:val="28"/>
          <w:szCs w:val="28"/>
          <w:shd w:val="clear" w:color="auto" w:fill="FFFFFF"/>
        </w:rPr>
        <w:t>是否为松材线虫病的症状，二是对枯萎</w:t>
      </w:r>
      <w:r w:rsidR="00F85256">
        <w:rPr>
          <w:rFonts w:hint="eastAsia"/>
          <w:color w:val="000000"/>
          <w:sz w:val="28"/>
          <w:szCs w:val="28"/>
          <w:shd w:val="clear" w:color="auto" w:fill="FFFFFF"/>
        </w:rPr>
        <w:t>的松</w:t>
      </w:r>
      <w:r w:rsidR="00451106">
        <w:rPr>
          <w:rFonts w:hint="eastAsia"/>
          <w:color w:val="000000"/>
          <w:sz w:val="28"/>
          <w:szCs w:val="28"/>
          <w:shd w:val="clear" w:color="auto" w:fill="FFFFFF"/>
        </w:rPr>
        <w:t>树进行取样、</w:t>
      </w:r>
      <w:r w:rsidR="00F85256">
        <w:rPr>
          <w:rFonts w:hint="eastAsia"/>
          <w:color w:val="000000"/>
          <w:sz w:val="28"/>
          <w:szCs w:val="28"/>
          <w:shd w:val="clear" w:color="auto" w:fill="FFFFFF"/>
        </w:rPr>
        <w:t>培养、</w:t>
      </w:r>
      <w:r w:rsidR="00451106">
        <w:rPr>
          <w:rFonts w:hint="eastAsia"/>
          <w:color w:val="000000"/>
          <w:sz w:val="28"/>
          <w:szCs w:val="28"/>
          <w:shd w:val="clear" w:color="auto" w:fill="FFFFFF"/>
        </w:rPr>
        <w:t>分离、镜检进行</w:t>
      </w:r>
      <w:r w:rsidR="00F85256">
        <w:rPr>
          <w:rFonts w:hint="eastAsia"/>
          <w:color w:val="000000"/>
          <w:sz w:val="28"/>
          <w:szCs w:val="28"/>
          <w:shd w:val="clear" w:color="auto" w:fill="FFFFFF"/>
        </w:rPr>
        <w:t>室内</w:t>
      </w:r>
      <w:r w:rsidR="00451106">
        <w:rPr>
          <w:rFonts w:hint="eastAsia"/>
          <w:color w:val="000000"/>
          <w:sz w:val="28"/>
          <w:szCs w:val="28"/>
          <w:shd w:val="clear" w:color="auto" w:fill="FFFFFF"/>
        </w:rPr>
        <w:t>鉴定</w:t>
      </w:r>
      <w:r w:rsidR="00F85256">
        <w:rPr>
          <w:rFonts w:hint="eastAsia"/>
          <w:color w:val="000000"/>
          <w:sz w:val="28"/>
          <w:szCs w:val="28"/>
          <w:shd w:val="clear" w:color="auto" w:fill="FFFFFF"/>
        </w:rPr>
        <w:t>，最终确定是否为松材线虫病所致</w:t>
      </w:r>
      <w:r w:rsidR="00451106" w:rsidRPr="00236CEB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F85256" w:rsidRPr="00F85256" w:rsidRDefault="00F85256" w:rsidP="00F85256">
      <w:pPr>
        <w:ind w:firstLineChars="200" w:firstLine="562"/>
        <w:rPr>
          <w:b/>
          <w:sz w:val="28"/>
          <w:szCs w:val="28"/>
          <w:shd w:val="clear" w:color="auto" w:fill="FFFFFF"/>
        </w:rPr>
      </w:pPr>
      <w:r w:rsidRPr="00F85256">
        <w:rPr>
          <w:rFonts w:hint="eastAsia"/>
          <w:b/>
          <w:sz w:val="28"/>
          <w:szCs w:val="28"/>
          <w:shd w:val="clear" w:color="auto" w:fill="FFFFFF"/>
        </w:rPr>
        <w:t>一、松材线虫病的症状</w:t>
      </w:r>
    </w:p>
    <w:p w:rsidR="00F85256" w:rsidRPr="00F85256" w:rsidRDefault="00F85256" w:rsidP="00F85256">
      <w:pPr>
        <w:rPr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 xml:space="preserve">    </w:t>
      </w:r>
      <w:r>
        <w:rPr>
          <w:rFonts w:hint="eastAsia"/>
          <w:sz w:val="28"/>
          <w:szCs w:val="28"/>
          <w:shd w:val="clear" w:color="auto" w:fill="FFFFFF"/>
        </w:rPr>
        <w:t>松材线虫病的发病高峰期一般在</w:t>
      </w:r>
      <w:r>
        <w:rPr>
          <w:rFonts w:hint="eastAsia"/>
          <w:sz w:val="28"/>
          <w:szCs w:val="28"/>
          <w:shd w:val="clear" w:color="auto" w:fill="FFFFFF"/>
        </w:rPr>
        <w:t>8</w:t>
      </w:r>
      <w:r w:rsidRPr="00F85256">
        <w:rPr>
          <w:rFonts w:asciiTheme="minorEastAsia" w:hAnsiTheme="minorEastAsia" w:hint="eastAsia"/>
          <w:sz w:val="28"/>
          <w:szCs w:val="28"/>
          <w:shd w:val="clear" w:color="auto" w:fill="FFFFFF"/>
        </w:rPr>
        <w:t>～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9月份，从表现出针叶变黄、到树脂分泌减少甚至停止至死亡约1个月至1个半月时间。在松林中一般是优势树先发病。由于松材线虫病的潜伏侵染以及不同松树的抗性差异等原因，一些松树仅部分枝条表现出感病的外部症状，枯死的针叶在小枝上下垂倒挂，当年并不脱落。</w:t>
      </w:r>
    </w:p>
    <w:p w:rsidR="00236CEB" w:rsidRPr="00C155DA" w:rsidRDefault="00F47CE5" w:rsidP="00C155DA">
      <w:pPr>
        <w:ind w:firstLineChars="200" w:firstLine="562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二、</w:t>
      </w:r>
      <w:r w:rsidR="00236CEB" w:rsidRPr="00C155DA">
        <w:rPr>
          <w:rFonts w:hint="eastAsia"/>
          <w:b/>
          <w:sz w:val="28"/>
          <w:szCs w:val="28"/>
          <w:shd w:val="clear" w:color="auto" w:fill="FFFFFF"/>
        </w:rPr>
        <w:t>常年监测</w:t>
      </w:r>
    </w:p>
    <w:p w:rsidR="001849D9" w:rsidRDefault="00236CEB" w:rsidP="00236CEB">
      <w:pPr>
        <w:ind w:firstLineChars="200" w:firstLine="560"/>
        <w:rPr>
          <w:color w:val="000000"/>
          <w:sz w:val="28"/>
          <w:szCs w:val="28"/>
        </w:rPr>
      </w:pPr>
      <w:r w:rsidRPr="00236CEB">
        <w:rPr>
          <w:rFonts w:hint="eastAsia"/>
          <w:sz w:val="28"/>
          <w:szCs w:val="28"/>
          <w:shd w:val="clear" w:color="auto" w:fill="FFFFFF"/>
        </w:rPr>
        <w:t>以县</w:t>
      </w:r>
      <w:r>
        <w:rPr>
          <w:rFonts w:hint="eastAsia"/>
          <w:sz w:val="28"/>
          <w:szCs w:val="28"/>
          <w:shd w:val="clear" w:color="auto" w:fill="FFFFFF"/>
        </w:rPr>
        <w:t>（</w:t>
      </w:r>
      <w:r w:rsidRPr="00236CEB">
        <w:rPr>
          <w:rFonts w:hint="eastAsia"/>
          <w:sz w:val="28"/>
          <w:szCs w:val="28"/>
          <w:shd w:val="clear" w:color="auto" w:fill="FFFFFF"/>
        </w:rPr>
        <w:t>市</w:t>
      </w:r>
      <w:r>
        <w:rPr>
          <w:rFonts w:hint="eastAsia"/>
          <w:sz w:val="28"/>
          <w:szCs w:val="28"/>
          <w:shd w:val="clear" w:color="auto" w:fill="FFFFFF"/>
        </w:rPr>
        <w:t>、</w:t>
      </w:r>
      <w:r w:rsidRPr="00236CEB">
        <w:rPr>
          <w:rFonts w:hint="eastAsia"/>
          <w:sz w:val="28"/>
          <w:szCs w:val="28"/>
          <w:shd w:val="clear" w:color="auto" w:fill="FFFFFF"/>
        </w:rPr>
        <w:t>区</w:t>
      </w:r>
      <w:r>
        <w:rPr>
          <w:rFonts w:hint="eastAsia"/>
          <w:sz w:val="28"/>
          <w:szCs w:val="28"/>
          <w:shd w:val="clear" w:color="auto" w:fill="FFFFFF"/>
        </w:rPr>
        <w:t>）</w:t>
      </w:r>
      <w:r w:rsidRPr="00236CEB">
        <w:rPr>
          <w:rFonts w:hint="eastAsia"/>
          <w:sz w:val="28"/>
          <w:szCs w:val="28"/>
          <w:shd w:val="clear" w:color="auto" w:fill="FFFFFF"/>
        </w:rPr>
        <w:t>为单位</w:t>
      </w:r>
      <w:r>
        <w:rPr>
          <w:rFonts w:hint="eastAsia"/>
          <w:sz w:val="28"/>
          <w:szCs w:val="28"/>
          <w:shd w:val="clear" w:color="auto" w:fill="FFFFFF"/>
        </w:rPr>
        <w:t>，以乡镇林业站和林场为基本单元，组织</w:t>
      </w:r>
      <w:r w:rsidRPr="00236CEB">
        <w:rPr>
          <w:rFonts w:hint="eastAsia"/>
          <w:sz w:val="28"/>
          <w:szCs w:val="28"/>
          <w:shd w:val="clear" w:color="auto" w:fill="FFFFFF"/>
        </w:rPr>
        <w:t>专</w:t>
      </w:r>
      <w:r>
        <w:rPr>
          <w:rFonts w:hint="eastAsia"/>
          <w:sz w:val="28"/>
          <w:szCs w:val="28"/>
          <w:shd w:val="clear" w:color="auto" w:fill="FFFFFF"/>
        </w:rPr>
        <w:t>、</w:t>
      </w:r>
      <w:r w:rsidRPr="00236CEB">
        <w:rPr>
          <w:rFonts w:hint="eastAsia"/>
          <w:sz w:val="28"/>
          <w:szCs w:val="28"/>
          <w:shd w:val="clear" w:color="auto" w:fill="FFFFFF"/>
        </w:rPr>
        <w:t>兼职监测人员</w:t>
      </w:r>
      <w:r w:rsidR="00451106">
        <w:rPr>
          <w:rFonts w:hint="eastAsia"/>
          <w:sz w:val="28"/>
          <w:szCs w:val="28"/>
          <w:shd w:val="clear" w:color="auto" w:fill="FFFFFF"/>
        </w:rPr>
        <w:t>在树木生长季节，随时</w:t>
      </w:r>
      <w:r w:rsidRPr="00236CEB">
        <w:rPr>
          <w:rFonts w:hint="eastAsia"/>
          <w:sz w:val="28"/>
          <w:szCs w:val="28"/>
          <w:shd w:val="clear" w:color="auto" w:fill="FFFFFF"/>
        </w:rPr>
        <w:t>对重点地区附近松林进行巡查</w:t>
      </w:r>
      <w:r>
        <w:rPr>
          <w:rFonts w:hint="eastAsia"/>
          <w:sz w:val="28"/>
          <w:szCs w:val="28"/>
          <w:shd w:val="clear" w:color="auto" w:fill="FFFFFF"/>
        </w:rPr>
        <w:t>，</w:t>
      </w:r>
      <w:r w:rsidRPr="00236CEB">
        <w:rPr>
          <w:rFonts w:hint="eastAsia"/>
          <w:sz w:val="28"/>
          <w:szCs w:val="28"/>
          <w:shd w:val="clear" w:color="auto" w:fill="FFFFFF"/>
        </w:rPr>
        <w:t>凡发现松树</w:t>
      </w:r>
      <w:r>
        <w:rPr>
          <w:rFonts w:hint="eastAsia"/>
          <w:sz w:val="28"/>
          <w:szCs w:val="28"/>
          <w:shd w:val="clear" w:color="auto" w:fill="FFFFFF"/>
        </w:rPr>
        <w:t>患</w:t>
      </w:r>
      <w:r w:rsidRPr="00236CEB">
        <w:rPr>
          <w:rFonts w:hint="eastAsia"/>
          <w:sz w:val="28"/>
          <w:szCs w:val="28"/>
          <w:shd w:val="clear" w:color="auto" w:fill="FFFFFF"/>
        </w:rPr>
        <w:t>有感病症状</w:t>
      </w:r>
      <w:r>
        <w:rPr>
          <w:rFonts w:hint="eastAsia"/>
          <w:sz w:val="28"/>
          <w:szCs w:val="28"/>
          <w:shd w:val="clear" w:color="auto" w:fill="FFFFFF"/>
        </w:rPr>
        <w:t>，立即取样分离鉴定，</w:t>
      </w:r>
      <w:r w:rsidRPr="00236CEB">
        <w:rPr>
          <w:rFonts w:hint="eastAsia"/>
          <w:sz w:val="28"/>
          <w:szCs w:val="28"/>
          <w:shd w:val="clear" w:color="auto" w:fill="FFFFFF"/>
        </w:rPr>
        <w:t>发现松树异常枯死现象</w:t>
      </w:r>
      <w:r>
        <w:rPr>
          <w:rFonts w:hint="eastAsia"/>
          <w:sz w:val="28"/>
          <w:szCs w:val="28"/>
          <w:shd w:val="clear" w:color="auto" w:fill="FFFFFF"/>
        </w:rPr>
        <w:t>要</w:t>
      </w:r>
      <w:r w:rsidRPr="00236CEB">
        <w:rPr>
          <w:rFonts w:hint="eastAsia"/>
          <w:sz w:val="28"/>
          <w:szCs w:val="28"/>
          <w:shd w:val="clear" w:color="auto" w:fill="FFFFFF"/>
        </w:rPr>
        <w:t>立即报告。</w:t>
      </w:r>
    </w:p>
    <w:p w:rsidR="00236CEB" w:rsidRPr="00C155DA" w:rsidRDefault="00F47CE5" w:rsidP="001849D9">
      <w:pPr>
        <w:ind w:firstLineChars="200" w:firstLine="562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三</w:t>
      </w:r>
      <w:r w:rsidR="00236CEB" w:rsidRPr="00C155DA">
        <w:rPr>
          <w:rFonts w:hint="eastAsia"/>
          <w:b/>
          <w:color w:val="000000"/>
          <w:sz w:val="28"/>
          <w:szCs w:val="28"/>
          <w:shd w:val="clear" w:color="auto" w:fill="FFFFFF"/>
        </w:rPr>
        <w:t>、定期调查</w:t>
      </w:r>
    </w:p>
    <w:p w:rsidR="004F6C8A" w:rsidRDefault="007B28BC" w:rsidP="00236CEB">
      <w:pPr>
        <w:ind w:firstLineChars="200" w:firstLine="560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由县级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以上森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防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检疫机构</w:t>
      </w:r>
      <w:r w:rsidR="003A7CD1">
        <w:rPr>
          <w:rFonts w:hint="eastAsia"/>
          <w:color w:val="000000"/>
          <w:sz w:val="28"/>
          <w:szCs w:val="28"/>
          <w:shd w:val="clear" w:color="auto" w:fill="FFFFFF"/>
        </w:rPr>
        <w:t>于每年秋季</w:t>
      </w:r>
      <w:r w:rsidR="003A7CD1" w:rsidRPr="00236CEB">
        <w:rPr>
          <w:rFonts w:hint="eastAsia"/>
          <w:color w:val="000000"/>
          <w:sz w:val="28"/>
          <w:szCs w:val="28"/>
          <w:shd w:val="clear" w:color="auto" w:fill="FFFFFF"/>
        </w:rPr>
        <w:t>10</w:t>
      </w:r>
      <w:r w:rsidR="003A7CD1" w:rsidRPr="00236CEB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具体组织实施</w:t>
      </w:r>
      <w:r w:rsidR="003A7CD1">
        <w:rPr>
          <w:rFonts w:hint="eastAsia"/>
          <w:color w:val="000000"/>
          <w:sz w:val="28"/>
          <w:szCs w:val="28"/>
          <w:shd w:val="clear" w:color="auto" w:fill="FFFFFF"/>
        </w:rPr>
        <w:t>。要求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对</w:t>
      </w:r>
      <w:r w:rsidR="004C71A6" w:rsidRPr="00236CEB">
        <w:rPr>
          <w:rFonts w:hint="eastAsia"/>
          <w:color w:val="000000"/>
          <w:sz w:val="28"/>
          <w:szCs w:val="28"/>
          <w:shd w:val="clear" w:color="auto" w:fill="FFFFFF"/>
        </w:rPr>
        <w:t>县级行政区内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的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全部松林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实施</w:t>
      </w:r>
      <w:r w:rsidR="004C71A6" w:rsidRPr="00236CEB">
        <w:rPr>
          <w:rFonts w:hint="eastAsia"/>
          <w:color w:val="000000"/>
          <w:sz w:val="28"/>
          <w:szCs w:val="28"/>
          <w:shd w:val="clear" w:color="auto" w:fill="FFFFFF"/>
        </w:rPr>
        <w:t>全面调查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。重点调查交通沿线、风景区、木制品生产和使用单位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 w:rsidR="004C71A6" w:rsidRPr="00236CEB">
        <w:rPr>
          <w:rFonts w:hint="eastAsia"/>
          <w:color w:val="000000"/>
          <w:sz w:val="28"/>
          <w:szCs w:val="28"/>
          <w:shd w:val="clear" w:color="auto" w:fill="FFFFFF"/>
        </w:rPr>
        <w:t>木材加工点、木材市场、建筑工地、仓</w:t>
      </w:r>
      <w:r w:rsidR="004C71A6" w:rsidRPr="00236CEB"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库、通讯塔站、电站、电视塔、光缆、电缆架设区和一些厂区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）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等人为活动频繁地区附近的松林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特别是曾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经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从</w:t>
      </w:r>
      <w:r w:rsidR="0079177C">
        <w:rPr>
          <w:rFonts w:hint="eastAsia"/>
          <w:color w:val="000000"/>
          <w:sz w:val="28"/>
          <w:szCs w:val="28"/>
          <w:shd w:val="clear" w:color="auto" w:fill="FFFFFF"/>
        </w:rPr>
        <w:t>疫区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调入松木及松木制品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（</w:t>
      </w:r>
      <w:r w:rsidR="004C71A6" w:rsidRPr="00236CEB">
        <w:rPr>
          <w:rFonts w:hint="eastAsia"/>
          <w:color w:val="000000"/>
          <w:sz w:val="28"/>
          <w:szCs w:val="28"/>
          <w:shd w:val="clear" w:color="auto" w:fill="FFFFFF"/>
        </w:rPr>
        <w:t>如电缆盘、垫木、设备包装及铺垫材料等</w:t>
      </w:r>
      <w:r w:rsidR="004C71A6">
        <w:rPr>
          <w:rFonts w:hint="eastAsia"/>
          <w:color w:val="000000"/>
          <w:sz w:val="28"/>
          <w:szCs w:val="28"/>
          <w:shd w:val="clear" w:color="auto" w:fill="FFFFFF"/>
        </w:rPr>
        <w:t>）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地方</w:t>
      </w:r>
      <w:r w:rsidR="0079177C">
        <w:rPr>
          <w:rFonts w:hint="eastAsia"/>
          <w:color w:val="000000"/>
          <w:sz w:val="28"/>
          <w:szCs w:val="28"/>
          <w:shd w:val="clear" w:color="auto" w:fill="FFFFFF"/>
        </w:rPr>
        <w:t>的松林</w:t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="00236CEB" w:rsidRPr="00236CEB">
        <w:rPr>
          <w:rFonts w:hint="eastAsia"/>
          <w:color w:val="000000"/>
          <w:sz w:val="28"/>
          <w:szCs w:val="28"/>
        </w:rPr>
        <w:br/>
      </w:r>
      <w:r w:rsidR="00236CEB" w:rsidRPr="00236CEB">
        <w:rPr>
          <w:rFonts w:hint="eastAsia"/>
          <w:color w:val="000000"/>
          <w:sz w:val="28"/>
          <w:szCs w:val="28"/>
          <w:shd w:val="clear" w:color="auto" w:fill="FFFFFF"/>
        </w:rPr>
        <w:t xml:space="preserve">　　</w:t>
      </w:r>
      <w:r w:rsidR="00F47CE5">
        <w:rPr>
          <w:rFonts w:hint="eastAsia"/>
          <w:b/>
          <w:color w:val="000000"/>
          <w:sz w:val="28"/>
          <w:szCs w:val="28"/>
          <w:shd w:val="clear" w:color="auto" w:fill="FFFFFF"/>
        </w:rPr>
        <w:t>四</w:t>
      </w:r>
      <w:r w:rsidR="001660E3">
        <w:rPr>
          <w:rFonts w:hint="eastAsia"/>
          <w:b/>
          <w:color w:val="000000"/>
          <w:sz w:val="28"/>
          <w:szCs w:val="28"/>
          <w:shd w:val="clear" w:color="auto" w:fill="FFFFFF"/>
        </w:rPr>
        <w:t>、</w:t>
      </w:r>
      <w:r w:rsidR="00440A62">
        <w:rPr>
          <w:rFonts w:hint="eastAsia"/>
          <w:b/>
          <w:color w:val="000000"/>
          <w:sz w:val="28"/>
          <w:szCs w:val="28"/>
          <w:shd w:val="clear" w:color="auto" w:fill="FFFFFF"/>
        </w:rPr>
        <w:t>检疫</w:t>
      </w:r>
      <w:r w:rsidR="004F6C8A">
        <w:rPr>
          <w:rFonts w:hint="eastAsia"/>
          <w:b/>
          <w:color w:val="000000"/>
          <w:sz w:val="28"/>
          <w:szCs w:val="28"/>
          <w:shd w:val="clear" w:color="auto" w:fill="FFFFFF"/>
        </w:rPr>
        <w:t>监管</w:t>
      </w:r>
    </w:p>
    <w:p w:rsidR="00B37FA5" w:rsidRPr="00B37FA5" w:rsidRDefault="00B37FA5" w:rsidP="00B37FA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各级森防检疫机构要全面开展</w:t>
      </w:r>
      <w:r w:rsidR="00AE3507">
        <w:rPr>
          <w:rFonts w:ascii="宋体" w:eastAsia="宋体" w:hAnsi="宋体" w:cs="Times New Roman" w:hint="eastAsia"/>
          <w:sz w:val="28"/>
          <w:szCs w:val="28"/>
        </w:rPr>
        <w:t>从松材线虫病疫区调入</w:t>
      </w:r>
      <w:r w:rsidRPr="001C7E71">
        <w:rPr>
          <w:rFonts w:ascii="宋体" w:eastAsia="宋体" w:hAnsi="宋体" w:cs="Times New Roman" w:hint="eastAsia"/>
          <w:sz w:val="28"/>
          <w:szCs w:val="28"/>
        </w:rPr>
        <w:t>松</w:t>
      </w:r>
      <w:r w:rsidR="00AE3507">
        <w:rPr>
          <w:rFonts w:ascii="宋体" w:eastAsia="宋体" w:hAnsi="宋体" w:cs="Times New Roman" w:hint="eastAsia"/>
          <w:sz w:val="28"/>
          <w:szCs w:val="28"/>
        </w:rPr>
        <w:t>木</w:t>
      </w:r>
      <w:r w:rsidRPr="001C7E71">
        <w:rPr>
          <w:rFonts w:ascii="宋体" w:eastAsia="宋体" w:hAnsi="宋体" w:cs="Times New Roman" w:hint="eastAsia"/>
          <w:sz w:val="28"/>
          <w:szCs w:val="28"/>
        </w:rPr>
        <w:t>及其制品（含电缆盘、光缆盘、包装箱等）</w:t>
      </w:r>
      <w:r>
        <w:rPr>
          <w:rFonts w:ascii="宋体" w:eastAsia="宋体" w:hAnsi="宋体" w:cs="Times New Roman" w:hint="eastAsia"/>
          <w:sz w:val="28"/>
          <w:szCs w:val="28"/>
        </w:rPr>
        <w:t>的</w:t>
      </w:r>
      <w:r w:rsidR="00AE3507">
        <w:rPr>
          <w:rFonts w:ascii="宋体" w:eastAsia="宋体" w:hAnsi="宋体" w:cs="Times New Roman" w:hint="eastAsia"/>
          <w:sz w:val="28"/>
          <w:szCs w:val="28"/>
        </w:rPr>
        <w:t>检疫宣传工作，主动与电力、电信、机电、医疗卫生、科研机构等签订复检协议，要求其在</w:t>
      </w:r>
      <w:r w:rsidR="00387FA6">
        <w:rPr>
          <w:rFonts w:ascii="宋体" w:eastAsia="宋体" w:hAnsi="宋体" w:cs="Times New Roman" w:hint="eastAsia"/>
          <w:sz w:val="28"/>
          <w:szCs w:val="28"/>
        </w:rPr>
        <w:t>调入前</w:t>
      </w:r>
      <w:r>
        <w:rPr>
          <w:rFonts w:ascii="宋体" w:eastAsia="宋体" w:hAnsi="宋体" w:cs="Times New Roman" w:hint="eastAsia"/>
          <w:sz w:val="28"/>
          <w:szCs w:val="28"/>
        </w:rPr>
        <w:t>登记、</w:t>
      </w:r>
      <w:r w:rsidR="00387FA6">
        <w:rPr>
          <w:rFonts w:ascii="宋体" w:eastAsia="宋体" w:hAnsi="宋体" w:cs="Times New Roman" w:hint="eastAsia"/>
          <w:sz w:val="28"/>
          <w:szCs w:val="28"/>
        </w:rPr>
        <w:t>调入后</w:t>
      </w:r>
      <w:r>
        <w:rPr>
          <w:rFonts w:ascii="宋体" w:eastAsia="宋体" w:hAnsi="宋体" w:cs="Times New Roman" w:hint="eastAsia"/>
          <w:sz w:val="28"/>
          <w:szCs w:val="28"/>
        </w:rPr>
        <w:t>告知</w:t>
      </w:r>
      <w:r w:rsidR="00AE3507">
        <w:rPr>
          <w:rFonts w:ascii="宋体" w:eastAsia="宋体" w:hAnsi="宋体" w:cs="Times New Roman" w:hint="eastAsia"/>
          <w:sz w:val="28"/>
          <w:szCs w:val="28"/>
        </w:rPr>
        <w:t>，并及时做好</w:t>
      </w:r>
      <w:r>
        <w:rPr>
          <w:rFonts w:ascii="宋体" w:eastAsia="宋体" w:hAnsi="宋体" w:cs="Times New Roman" w:hint="eastAsia"/>
          <w:sz w:val="28"/>
          <w:szCs w:val="28"/>
        </w:rPr>
        <w:t>复检</w:t>
      </w:r>
      <w:r w:rsidR="00AE3507">
        <w:rPr>
          <w:rFonts w:ascii="宋体" w:eastAsia="宋体" w:hAnsi="宋体" w:cs="Times New Roman" w:hint="eastAsia"/>
          <w:sz w:val="28"/>
          <w:szCs w:val="28"/>
        </w:rPr>
        <w:t>，合格后方可分散使用</w:t>
      </w:r>
      <w:r w:rsidRPr="001C7E71">
        <w:rPr>
          <w:rFonts w:ascii="宋体" w:eastAsia="宋体" w:hAnsi="宋体" w:cs="Times New Roman" w:hint="eastAsia"/>
          <w:sz w:val="28"/>
          <w:szCs w:val="28"/>
        </w:rPr>
        <w:t>。</w:t>
      </w:r>
      <w:r w:rsidR="00AE3507">
        <w:rPr>
          <w:rFonts w:ascii="宋体" w:eastAsia="宋体" w:hAnsi="宋体" w:cs="Times New Roman"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重点对公路、铁路、电力、电信、采矿等工程建设中调入、存储</w:t>
      </w:r>
      <w:r w:rsidR="00AE3507">
        <w:rPr>
          <w:rFonts w:hint="eastAsia"/>
          <w:sz w:val="28"/>
          <w:szCs w:val="28"/>
        </w:rPr>
        <w:t>、使用的外来松木制品（如电缆盘、光缆盘、包装箱等）进行检疫巡</w:t>
      </w:r>
      <w:r>
        <w:rPr>
          <w:rFonts w:hint="eastAsia"/>
          <w:sz w:val="28"/>
          <w:szCs w:val="28"/>
        </w:rPr>
        <w:t>查，严格查验《植物检疫证书》，</w:t>
      </w:r>
      <w:r w:rsidR="00AE3507">
        <w:rPr>
          <w:rFonts w:hint="eastAsia"/>
          <w:sz w:val="28"/>
          <w:szCs w:val="28"/>
        </w:rPr>
        <w:t>复检</w:t>
      </w:r>
      <w:r>
        <w:rPr>
          <w:rFonts w:hint="eastAsia"/>
          <w:sz w:val="28"/>
          <w:szCs w:val="28"/>
        </w:rPr>
        <w:t>确认是否携带</w:t>
      </w:r>
      <w:r w:rsidR="00AE3507">
        <w:rPr>
          <w:rFonts w:hint="eastAsia"/>
          <w:sz w:val="28"/>
          <w:szCs w:val="28"/>
        </w:rPr>
        <w:t>松材线虫病</w:t>
      </w:r>
      <w:r>
        <w:rPr>
          <w:rFonts w:hint="eastAsia"/>
          <w:sz w:val="28"/>
          <w:szCs w:val="28"/>
        </w:rPr>
        <w:t>疫情。对违法调</w:t>
      </w:r>
      <w:r w:rsidR="00AE3507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>的</w:t>
      </w:r>
      <w:r w:rsidR="00AE350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要依法进行严肃查处，对调出地森防检疫机构行政不作为行为要及时进行告知，并按规定层层上报。</w:t>
      </w:r>
    </w:p>
    <w:p w:rsidR="004C71A6" w:rsidRPr="00C155DA" w:rsidRDefault="004F6C8A" w:rsidP="004F6C8A">
      <w:pPr>
        <w:ind w:firstLineChars="200" w:firstLine="562"/>
        <w:rPr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五、</w:t>
      </w:r>
      <w:r w:rsidR="001660E3">
        <w:rPr>
          <w:rFonts w:hint="eastAsia"/>
          <w:b/>
          <w:color w:val="000000"/>
          <w:sz w:val="28"/>
          <w:szCs w:val="28"/>
          <w:shd w:val="clear" w:color="auto" w:fill="FFFFFF"/>
        </w:rPr>
        <w:t>抽样</w:t>
      </w:r>
      <w:r w:rsidR="004C71A6" w:rsidRPr="00C155DA">
        <w:rPr>
          <w:rFonts w:hint="eastAsia"/>
          <w:b/>
          <w:color w:val="000000"/>
          <w:sz w:val="28"/>
          <w:szCs w:val="28"/>
          <w:shd w:val="clear" w:color="auto" w:fill="FFFFFF"/>
        </w:rPr>
        <w:t>方法</w:t>
      </w:r>
    </w:p>
    <w:p w:rsidR="001660E3" w:rsidRPr="001660E3" w:rsidRDefault="001660E3" w:rsidP="001660E3">
      <w:pPr>
        <w:pStyle w:val="a5"/>
        <w:numPr>
          <w:ilvl w:val="0"/>
          <w:numId w:val="3"/>
        </w:numPr>
        <w:ind w:firstLineChars="0"/>
        <w:rPr>
          <w:color w:val="000000"/>
          <w:sz w:val="28"/>
          <w:szCs w:val="28"/>
          <w:shd w:val="clear" w:color="auto" w:fill="FFFFFF"/>
        </w:rPr>
      </w:pPr>
      <w:r w:rsidRPr="001660E3">
        <w:rPr>
          <w:rFonts w:hint="eastAsia"/>
          <w:color w:val="000000"/>
          <w:sz w:val="28"/>
          <w:szCs w:val="28"/>
          <w:shd w:val="clear" w:color="auto" w:fill="FFFFFF"/>
        </w:rPr>
        <w:t>松林的抽样</w:t>
      </w:r>
    </w:p>
    <w:p w:rsidR="00975522" w:rsidRPr="00415E3E" w:rsidRDefault="00F47CE5" w:rsidP="00415E3E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1660E3">
        <w:rPr>
          <w:rFonts w:hint="eastAsia"/>
          <w:color w:val="000000"/>
          <w:sz w:val="28"/>
          <w:szCs w:val="28"/>
          <w:shd w:val="clear" w:color="auto" w:fill="FFFFFF"/>
        </w:rPr>
        <w:t>根据当地松林分布特点</w:t>
      </w:r>
      <w:r w:rsidRPr="001660E3">
        <w:rPr>
          <w:rFonts w:hint="eastAsia"/>
          <w:color w:val="000000"/>
          <w:sz w:val="28"/>
          <w:szCs w:val="28"/>
          <w:shd w:val="clear" w:color="auto" w:fill="FFFFFF"/>
        </w:rPr>
        <w:t>,</w:t>
      </w:r>
      <w:r w:rsidRPr="001660E3">
        <w:rPr>
          <w:rFonts w:hint="eastAsia"/>
          <w:color w:val="000000"/>
          <w:sz w:val="28"/>
          <w:szCs w:val="28"/>
          <w:shd w:val="clear" w:color="auto" w:fill="FFFFFF"/>
        </w:rPr>
        <w:t>设计具体踏查路线，采用目测方法，查找有无具有松材线虫病症状的枯死树、濒死松树。可先以自然界线、道路为路线及登上制高点进行初步查看，再以乡、村监测人员常年监测调查中发现的枯死及濒死松树为重点，在踏查基础上，</w:t>
      </w:r>
      <w:r w:rsidR="00236CEB" w:rsidRPr="001660E3">
        <w:rPr>
          <w:rFonts w:hint="eastAsia"/>
          <w:color w:val="000000"/>
          <w:sz w:val="28"/>
          <w:szCs w:val="28"/>
          <w:shd w:val="clear" w:color="auto" w:fill="FFFFFF"/>
        </w:rPr>
        <w:t>选择</w:t>
      </w:r>
      <w:r w:rsidRPr="001660E3">
        <w:rPr>
          <w:rFonts w:hint="eastAsia"/>
          <w:color w:val="000000"/>
          <w:sz w:val="28"/>
          <w:szCs w:val="28"/>
          <w:shd w:val="clear" w:color="auto" w:fill="FFFFFF"/>
        </w:rPr>
        <w:t>尚未完全枯死或刚枯死的优势松树作为</w:t>
      </w:r>
      <w:r w:rsidR="00236CEB" w:rsidRPr="001660E3">
        <w:rPr>
          <w:rFonts w:hint="eastAsia"/>
          <w:color w:val="000000"/>
          <w:sz w:val="28"/>
          <w:szCs w:val="28"/>
          <w:shd w:val="clear" w:color="auto" w:fill="FFFFFF"/>
        </w:rPr>
        <w:t>抽样对象。抽样要以小班为单位</w:t>
      </w:r>
      <w:r w:rsidR="0079177C" w:rsidRPr="001660E3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236CEB" w:rsidRPr="001660E3">
        <w:rPr>
          <w:rFonts w:hint="eastAsia"/>
          <w:color w:val="000000"/>
          <w:sz w:val="28"/>
          <w:szCs w:val="28"/>
          <w:shd w:val="clear" w:color="auto" w:fill="FFFFFF"/>
        </w:rPr>
        <w:t>表</w:t>
      </w:r>
      <w:r w:rsidR="00236CEB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现典型症状的松树在10株以下时全部取样；10株以上时先抽取10株</w:t>
      </w:r>
      <w:r w:rsidR="0079177C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236CEB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再选取余数量1%</w:t>
      </w:r>
      <w:r w:rsidR="0079177C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～</w:t>
      </w:r>
      <w:r w:rsidR="00236CEB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5%。</w:t>
      </w:r>
      <w:r w:rsidR="0097552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取样</w:t>
      </w:r>
      <w:proofErr w:type="gramStart"/>
      <w:r w:rsidR="0097552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株确定</w:t>
      </w:r>
      <w:proofErr w:type="gramEnd"/>
      <w:r w:rsidR="0097552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后，可用GPS定位，取样前</w:t>
      </w:r>
      <w:r w:rsidR="0097552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可对疑似病树的整体情况拍照，并填写《松材线虫病林业小班调查抽样记录表》（见附表</w:t>
      </w:r>
      <w:r w:rsidR="00291AA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</w:t>
      </w:r>
      <w:r w:rsidR="00975522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）。</w:t>
      </w:r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对抽取的样株，在树干下部、中部、上部选取3个取样部位，若整株没有完全枯死的可多取1个已死亡的侧枝。取样时，在取样部位剥净树皮，</w:t>
      </w:r>
      <w:proofErr w:type="gramStart"/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直接砍取100～200</w:t>
      </w:r>
      <w:proofErr w:type="gramEnd"/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g木片，或用手摇钻钻取100～200g木屑，或在取样部位截取2cm厚的圆盘，所取样品</w:t>
      </w:r>
      <w:r w:rsidR="00415E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要及时贴上标签（记录样品号、采集地点、树种、树龄、取样时间及取样人等信息）。</w:t>
      </w:r>
    </w:p>
    <w:p w:rsidR="00F47CE5" w:rsidRPr="00415E3E" w:rsidRDefault="001660E3" w:rsidP="00415E3E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415E3E">
        <w:rPr>
          <w:rFonts w:hint="eastAsia"/>
          <w:color w:val="000000"/>
          <w:sz w:val="28"/>
          <w:szCs w:val="28"/>
          <w:shd w:val="clear" w:color="auto" w:fill="FFFFFF"/>
        </w:rPr>
        <w:t>（二）</w:t>
      </w:r>
      <w:r w:rsidR="00F47CE5" w:rsidRPr="00415E3E">
        <w:rPr>
          <w:rFonts w:hint="eastAsia"/>
          <w:color w:val="000000"/>
          <w:sz w:val="28"/>
          <w:szCs w:val="28"/>
          <w:shd w:val="clear" w:color="auto" w:fill="FFFFFF"/>
        </w:rPr>
        <w:t>松木制品的抽</w:t>
      </w:r>
      <w:r w:rsidRPr="00415E3E">
        <w:rPr>
          <w:rFonts w:hint="eastAsia"/>
          <w:color w:val="000000"/>
          <w:sz w:val="28"/>
          <w:szCs w:val="28"/>
          <w:shd w:val="clear" w:color="auto" w:fill="FFFFFF"/>
        </w:rPr>
        <w:t>样</w:t>
      </w:r>
    </w:p>
    <w:p w:rsidR="00291AA2" w:rsidRPr="00415E3E" w:rsidRDefault="00291AA2" w:rsidP="00415E3E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松木及其制品按货物总量的</w:t>
      </w:r>
      <w:r>
        <w:rPr>
          <w:rFonts w:hint="eastAsia"/>
          <w:color w:val="000000"/>
          <w:sz w:val="28"/>
          <w:szCs w:val="28"/>
          <w:shd w:val="clear" w:color="auto" w:fill="FFFFFF"/>
        </w:rPr>
        <w:t>1%</w:t>
      </w:r>
      <w:r w:rsidRPr="00291AA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～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20%抽样，样本低于10个全检。采取表层或分层方式设点抽样检查，重点抽取密度明显减轻、或有蓝</w:t>
      </w:r>
      <w:r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变特征、或有天牛危害症状的松木制品</w:t>
      </w:r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。取样时，在取样部位剥净树皮，</w:t>
      </w:r>
      <w:proofErr w:type="gramStart"/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直接砍取100～200</w:t>
      </w:r>
      <w:proofErr w:type="gramEnd"/>
      <w:r w:rsidR="00415E3E" w:rsidRP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g木片，或用手摇钻钻取100～200g木屑，所</w:t>
      </w:r>
      <w:r w:rsidR="00415E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取样品要及时贴上标签（记录样品号、采集地点、树种、树龄、取样时间及取样人等信息），</w:t>
      </w:r>
      <w:r w:rsidR="00415E3E" w:rsidRPr="001660E3">
        <w:rPr>
          <w:rFonts w:hint="eastAsia"/>
          <w:color w:val="000000"/>
          <w:sz w:val="28"/>
          <w:szCs w:val="28"/>
          <w:shd w:val="clear" w:color="auto" w:fill="FFFFFF"/>
        </w:rPr>
        <w:t>并填写《</w:t>
      </w:r>
      <w:r w:rsidR="00415E3E">
        <w:rPr>
          <w:rFonts w:hint="eastAsia"/>
          <w:color w:val="000000"/>
          <w:sz w:val="28"/>
          <w:szCs w:val="28"/>
          <w:shd w:val="clear" w:color="auto" w:fill="FFFFFF"/>
        </w:rPr>
        <w:t>松木及其制品检疫检查</w:t>
      </w:r>
      <w:r w:rsidR="00415E3E" w:rsidRPr="001660E3">
        <w:rPr>
          <w:rFonts w:hint="eastAsia"/>
          <w:color w:val="000000"/>
          <w:sz w:val="28"/>
          <w:szCs w:val="28"/>
          <w:shd w:val="clear" w:color="auto" w:fill="FFFFFF"/>
        </w:rPr>
        <w:t>抽样记录表》（见附表</w:t>
      </w:r>
      <w:r w:rsidR="00415E3E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415E3E" w:rsidRPr="001660E3">
        <w:rPr>
          <w:rFonts w:hint="eastAsia"/>
          <w:color w:val="000000"/>
          <w:sz w:val="28"/>
          <w:szCs w:val="28"/>
          <w:shd w:val="clear" w:color="auto" w:fill="FFFFFF"/>
        </w:rPr>
        <w:t>）</w:t>
      </w:r>
      <w:r w:rsidR="00415E3E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583346" w:rsidRPr="00451106" w:rsidRDefault="004F6C8A" w:rsidP="00451106">
      <w:pPr>
        <w:ind w:firstLineChars="200" w:firstLine="562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六</w:t>
      </w:r>
      <w:r w:rsidR="00C35B29" w:rsidRPr="00451106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、</w:t>
      </w:r>
      <w:r w:rsidR="00440A62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疫情</w:t>
      </w:r>
      <w:r w:rsidR="00583346" w:rsidRPr="00451106">
        <w:rPr>
          <w:rFonts w:hint="eastAsia"/>
          <w:b/>
          <w:color w:val="000000"/>
          <w:sz w:val="28"/>
          <w:szCs w:val="28"/>
          <w:shd w:val="clear" w:color="auto" w:fill="FFFFFF"/>
        </w:rPr>
        <w:t>检测</w:t>
      </w:r>
      <w:r w:rsidR="00451106">
        <w:rPr>
          <w:rFonts w:hint="eastAsia"/>
          <w:b/>
          <w:color w:val="000000"/>
          <w:sz w:val="28"/>
          <w:szCs w:val="28"/>
          <w:shd w:val="clear" w:color="auto" w:fill="FFFFFF"/>
        </w:rPr>
        <w:t>鉴定</w:t>
      </w:r>
    </w:p>
    <w:p w:rsidR="00C35B29" w:rsidRPr="00583346" w:rsidRDefault="002F1707" w:rsidP="00583346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松材线虫的快速培养采取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疫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木在</w:t>
      </w:r>
      <w:r>
        <w:rPr>
          <w:rFonts w:hint="eastAsia"/>
          <w:color w:val="000000"/>
          <w:sz w:val="28"/>
          <w:szCs w:val="28"/>
          <w:shd w:val="clear" w:color="auto" w:fill="FFFFFF"/>
        </w:rPr>
        <w:t>30</w:t>
      </w:r>
      <w:r w:rsidRPr="002F170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℃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条件下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保湿培养</w:t>
      </w:r>
      <w:r>
        <w:rPr>
          <w:rFonts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天</w:t>
      </w:r>
      <w:r w:rsidR="0008685F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然后采用贝尔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曼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漏斗法或浅盘法分离</w:t>
      </w:r>
      <w:r w:rsidR="0008685F">
        <w:rPr>
          <w:rFonts w:hint="eastAsia"/>
          <w:color w:val="000000"/>
          <w:sz w:val="28"/>
          <w:szCs w:val="28"/>
          <w:shd w:val="clear" w:color="auto" w:fill="FFFFFF"/>
        </w:rPr>
        <w:t>所培养的</w:t>
      </w:r>
      <w:r>
        <w:rPr>
          <w:rFonts w:hint="eastAsia"/>
          <w:color w:val="000000"/>
          <w:sz w:val="28"/>
          <w:szCs w:val="28"/>
          <w:shd w:val="clear" w:color="auto" w:fill="FFFFFF"/>
        </w:rPr>
        <w:t>松材线虫，制作临时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玻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片，将分离的松材线虫液滴在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玻</w:t>
      </w:r>
      <w:proofErr w:type="gramEnd"/>
      <w:r>
        <w:rPr>
          <w:rFonts w:hint="eastAsia"/>
          <w:color w:val="000000"/>
          <w:sz w:val="28"/>
          <w:szCs w:val="28"/>
          <w:shd w:val="clear" w:color="auto" w:fill="FFFFFF"/>
        </w:rPr>
        <w:t>片上，在酒精灯火焰上过</w:t>
      </w:r>
      <w:r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2F170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～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6</w:t>
      </w:r>
      <w:r w:rsidR="0040675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次，烫杀</w:t>
      </w:r>
      <w:r w:rsid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载玻片上的线虫，</w:t>
      </w:r>
      <w:proofErr w:type="gramStart"/>
      <w:r w:rsid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最</w:t>
      </w:r>
      <w:proofErr w:type="gramEnd"/>
      <w:r w:rsidR="0008685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后盖上盖玻片镜检观测（鉴定特征参见GB/T 23476-2009）</w:t>
      </w:r>
      <w:r w:rsidR="0045110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，最终确定是否为松材线虫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="002C3921">
        <w:rPr>
          <w:rFonts w:hint="eastAsia"/>
          <w:color w:val="000000"/>
          <w:sz w:val="28"/>
          <w:szCs w:val="28"/>
          <w:shd w:val="clear" w:color="auto" w:fill="FFFFFF"/>
        </w:rPr>
        <w:t>若不能自行鉴定，请及时送交国家林业局指定机构进行鉴定。</w:t>
      </w:r>
    </w:p>
    <w:p w:rsidR="00583346" w:rsidRPr="00451106" w:rsidRDefault="004F6C8A" w:rsidP="00451106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lastRenderedPageBreak/>
        <w:t>七</w:t>
      </w:r>
      <w:r w:rsidR="00583346" w:rsidRPr="00451106">
        <w:rPr>
          <w:rFonts w:hint="eastAsia"/>
          <w:b/>
          <w:color w:val="000000"/>
          <w:sz w:val="28"/>
          <w:szCs w:val="28"/>
          <w:shd w:val="clear" w:color="auto" w:fill="FFFFFF"/>
        </w:rPr>
        <w:t>、</w:t>
      </w:r>
      <w:r w:rsidR="00583346" w:rsidRPr="00451106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样品的保存与处理</w:t>
      </w:r>
    </w:p>
    <w:p w:rsidR="00583346" w:rsidRDefault="00583346" w:rsidP="00583346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对采集的样品采取以下方法进行保存：将样品装入塑料袋内，扎紧袋口，在袋上扎几个小孔，放入4</w:t>
      </w:r>
      <w:r w:rsidRPr="0058334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℃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冰箱。若需长时间保存，应经常在样品上喷水保湿，保存期一般不超过30天。样品进行分离鉴定后应及时作销毁处理。</w:t>
      </w:r>
    </w:p>
    <w:p w:rsidR="00406759" w:rsidRDefault="00406759" w:rsidP="00236CEB">
      <w:pPr>
        <w:rPr>
          <w:sz w:val="28"/>
          <w:szCs w:val="28"/>
          <w:shd w:val="clear" w:color="auto" w:fill="FFFFFF"/>
        </w:rPr>
      </w:pPr>
    </w:p>
    <w:p w:rsidR="00406759" w:rsidRDefault="00406759" w:rsidP="00236CEB">
      <w:pPr>
        <w:rPr>
          <w:sz w:val="28"/>
          <w:szCs w:val="28"/>
          <w:shd w:val="clear" w:color="auto" w:fill="FFFFFF"/>
        </w:rPr>
      </w:pPr>
    </w:p>
    <w:p w:rsidR="00236CEB" w:rsidRDefault="00406759" w:rsidP="00406759">
      <w:pPr>
        <w:ind w:firstLineChars="1600" w:firstLine="448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吉林省森林病虫防治检疫总站</w:t>
      </w:r>
    </w:p>
    <w:p w:rsidR="00406759" w:rsidRPr="00406759" w:rsidRDefault="00406759" w:rsidP="00406759">
      <w:pPr>
        <w:ind w:firstLineChars="1900" w:firstLine="532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2017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shd w:val="clear" w:color="auto" w:fill="FFFFFF"/>
        </w:rPr>
        <w:t>2</w:t>
      </w:r>
      <w:r>
        <w:rPr>
          <w:rFonts w:hint="eastAsia"/>
          <w:sz w:val="28"/>
          <w:szCs w:val="28"/>
          <w:shd w:val="clear" w:color="auto" w:fill="FFFFFF"/>
        </w:rPr>
        <w:t>月</w:t>
      </w:r>
      <w:bookmarkStart w:id="0" w:name="_GoBack"/>
      <w:bookmarkEnd w:id="0"/>
    </w:p>
    <w:p w:rsidR="00236CEB" w:rsidRDefault="00236CEB" w:rsidP="00236CEB">
      <w:pPr>
        <w:rPr>
          <w:sz w:val="28"/>
          <w:szCs w:val="28"/>
          <w:shd w:val="clear" w:color="auto" w:fill="FFFFFF"/>
        </w:rPr>
      </w:pPr>
    </w:p>
    <w:p w:rsidR="00236CEB" w:rsidRDefault="00236CEB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AE3507" w:rsidRDefault="00AE3507" w:rsidP="00236CEB">
      <w:pPr>
        <w:rPr>
          <w:sz w:val="28"/>
          <w:szCs w:val="28"/>
          <w:shd w:val="clear" w:color="auto" w:fill="FFFFFF"/>
        </w:rPr>
      </w:pPr>
    </w:p>
    <w:p w:rsidR="00236CEB" w:rsidRPr="009047EA" w:rsidRDefault="00415E3E" w:rsidP="009047EA">
      <w:pPr>
        <w:jc w:val="center"/>
        <w:rPr>
          <w:b/>
          <w:sz w:val="28"/>
          <w:szCs w:val="28"/>
          <w:shd w:val="clear" w:color="auto" w:fill="FFFFFF"/>
        </w:rPr>
      </w:pPr>
      <w:r w:rsidRPr="009047EA">
        <w:rPr>
          <w:rFonts w:hint="eastAsia"/>
          <w:b/>
          <w:sz w:val="28"/>
          <w:szCs w:val="28"/>
          <w:shd w:val="clear" w:color="auto" w:fill="FFFFFF"/>
        </w:rPr>
        <w:lastRenderedPageBreak/>
        <w:t>附表</w:t>
      </w:r>
      <w:r w:rsidRPr="009047EA">
        <w:rPr>
          <w:rFonts w:hint="eastAsia"/>
          <w:b/>
          <w:sz w:val="28"/>
          <w:szCs w:val="28"/>
          <w:shd w:val="clear" w:color="auto" w:fill="FFFFFF"/>
        </w:rPr>
        <w:t>1</w:t>
      </w:r>
      <w:r w:rsidRPr="009047EA">
        <w:rPr>
          <w:rFonts w:hint="eastAsia"/>
          <w:b/>
          <w:sz w:val="28"/>
          <w:szCs w:val="28"/>
          <w:shd w:val="clear" w:color="auto" w:fill="FFFFFF"/>
        </w:rPr>
        <w:t>：</w:t>
      </w:r>
      <w:r w:rsidR="007C7832" w:rsidRPr="009047EA">
        <w:rPr>
          <w:rFonts w:hint="eastAsia"/>
          <w:b/>
          <w:sz w:val="28"/>
          <w:szCs w:val="28"/>
          <w:shd w:val="clear" w:color="auto" w:fill="FFFFFF"/>
        </w:rPr>
        <w:t>松材线虫病林业小班调查抽样记录表</w:t>
      </w:r>
    </w:p>
    <w:p w:rsidR="00236CEB" w:rsidRPr="007C7832" w:rsidRDefault="007C7832" w:rsidP="00236CEB">
      <w:pPr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市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，县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，乡镇（林场）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，林班号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，小班号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</w:t>
      </w:r>
    </w:p>
    <w:p w:rsidR="00236CEB" w:rsidRPr="007C7832" w:rsidRDefault="007C7832" w:rsidP="00236CEB">
      <w:pPr>
        <w:rPr>
          <w:sz w:val="28"/>
          <w:szCs w:val="28"/>
        </w:rPr>
      </w:pPr>
      <w:r w:rsidRPr="007C7832">
        <w:rPr>
          <w:rFonts w:hint="eastAsia"/>
          <w:sz w:val="28"/>
          <w:szCs w:val="28"/>
        </w:rPr>
        <w:t>面积（</w:t>
      </w:r>
      <w:r w:rsidRPr="007C7832">
        <w:rPr>
          <w:rFonts w:hint="eastAsia"/>
          <w:sz w:val="28"/>
          <w:szCs w:val="28"/>
        </w:rPr>
        <w:t>hm</w:t>
      </w:r>
      <w:r w:rsidRPr="007C7832">
        <w:rPr>
          <w:rFonts w:hint="eastAsia"/>
          <w:sz w:val="28"/>
          <w:szCs w:val="28"/>
          <w:vertAlign w:val="superscript"/>
        </w:rPr>
        <w:t>2</w:t>
      </w:r>
      <w:r w:rsidRPr="007C7832">
        <w:rPr>
          <w:rFonts w:hint="eastAsia"/>
          <w:sz w:val="28"/>
          <w:szCs w:val="28"/>
        </w:rPr>
        <w:t>）</w:t>
      </w:r>
      <w:r w:rsidRPr="007C7832">
        <w:rPr>
          <w:rFonts w:hint="eastAsia"/>
          <w:sz w:val="28"/>
          <w:szCs w:val="28"/>
          <w:u w:val="single"/>
        </w:rPr>
        <w:t xml:space="preserve">     </w:t>
      </w:r>
      <w:r w:rsidRPr="007C7832">
        <w:rPr>
          <w:rFonts w:hint="eastAsia"/>
          <w:sz w:val="28"/>
          <w:szCs w:val="28"/>
        </w:rPr>
        <w:t>，权属</w:t>
      </w:r>
      <w:r w:rsidRPr="007C783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7C7832">
        <w:rPr>
          <w:rFonts w:hint="eastAsia"/>
          <w:sz w:val="28"/>
          <w:szCs w:val="28"/>
          <w:u w:val="single"/>
        </w:rPr>
        <w:t xml:space="preserve">  </w:t>
      </w:r>
      <w:r w:rsidRPr="007C7832">
        <w:rPr>
          <w:rFonts w:hint="eastAsia"/>
          <w:sz w:val="28"/>
          <w:szCs w:val="28"/>
        </w:rPr>
        <w:t>，树种组成</w:t>
      </w:r>
      <w:r>
        <w:rPr>
          <w:rFonts w:hint="eastAsia"/>
          <w:sz w:val="28"/>
          <w:szCs w:val="28"/>
          <w:u w:val="single"/>
        </w:rPr>
        <w:t xml:space="preserve">   </w:t>
      </w:r>
      <w:r w:rsidRPr="007C7832">
        <w:rPr>
          <w:rFonts w:hint="eastAsia"/>
          <w:sz w:val="28"/>
          <w:szCs w:val="28"/>
          <w:u w:val="single"/>
        </w:rPr>
        <w:t xml:space="preserve">  </w:t>
      </w:r>
      <w:r w:rsidRPr="007C7832">
        <w:rPr>
          <w:rFonts w:hint="eastAsia"/>
          <w:sz w:val="28"/>
          <w:szCs w:val="28"/>
        </w:rPr>
        <w:t>，林分密度</w:t>
      </w:r>
      <w:r w:rsidRPr="007C783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7C7832">
        <w:rPr>
          <w:rFonts w:hint="eastAsia"/>
          <w:sz w:val="28"/>
          <w:szCs w:val="28"/>
          <w:u w:val="single"/>
        </w:rPr>
        <w:t xml:space="preserve">   </w:t>
      </w:r>
      <w:r w:rsidRPr="007C7832">
        <w:rPr>
          <w:rFonts w:hint="eastAsia"/>
          <w:sz w:val="28"/>
          <w:szCs w:val="28"/>
        </w:rPr>
        <w:t>，</w:t>
      </w:r>
    </w:p>
    <w:p w:rsidR="007C7832" w:rsidRDefault="007C7832" w:rsidP="00236CEB">
      <w:pPr>
        <w:rPr>
          <w:b/>
          <w:sz w:val="28"/>
          <w:szCs w:val="28"/>
        </w:rPr>
      </w:pPr>
      <w:r w:rsidRPr="007C7832">
        <w:rPr>
          <w:rFonts w:hint="eastAsia"/>
          <w:sz w:val="28"/>
          <w:szCs w:val="28"/>
        </w:rPr>
        <w:t>松树平均树龄</w:t>
      </w:r>
      <w:r w:rsidRPr="007C7832">
        <w:rPr>
          <w:rFonts w:hint="eastAsia"/>
          <w:sz w:val="28"/>
          <w:szCs w:val="28"/>
          <w:u w:val="single"/>
        </w:rPr>
        <w:t xml:space="preserve">     </w:t>
      </w:r>
      <w:r w:rsidRPr="007C7832">
        <w:rPr>
          <w:rFonts w:hint="eastAsia"/>
          <w:sz w:val="28"/>
          <w:szCs w:val="28"/>
        </w:rPr>
        <w:t>，可疑松树数量（株）</w:t>
      </w:r>
      <w:r>
        <w:rPr>
          <w:rFonts w:hint="eastAsia"/>
          <w:sz w:val="28"/>
          <w:szCs w:val="28"/>
          <w:u w:val="single"/>
        </w:rPr>
        <w:t xml:space="preserve">   </w:t>
      </w:r>
      <w:r w:rsidRPr="007C7832">
        <w:rPr>
          <w:rFonts w:hint="eastAsia"/>
          <w:sz w:val="28"/>
          <w:szCs w:val="28"/>
          <w:u w:val="single"/>
        </w:rPr>
        <w:t xml:space="preserve">  </w:t>
      </w:r>
      <w:r w:rsidRPr="007C7832">
        <w:rPr>
          <w:rFonts w:hint="eastAsia"/>
          <w:sz w:val="28"/>
          <w:szCs w:val="28"/>
        </w:rPr>
        <w:t>，其他死树（株）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C783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03"/>
        <w:gridCol w:w="1275"/>
        <w:gridCol w:w="993"/>
        <w:gridCol w:w="617"/>
      </w:tblGrid>
      <w:tr w:rsidR="009047EA" w:rsidTr="009047EA">
        <w:tc>
          <w:tcPr>
            <w:tcW w:w="946" w:type="dxa"/>
          </w:tcPr>
          <w:p w:rsidR="009047EA" w:rsidRPr="009047EA" w:rsidRDefault="009047EA" w:rsidP="00236CEB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样品编号</w:t>
            </w:r>
          </w:p>
        </w:tc>
        <w:tc>
          <w:tcPr>
            <w:tcW w:w="947" w:type="dxa"/>
          </w:tcPr>
          <w:p w:rsidR="009047EA" w:rsidRPr="009047EA" w:rsidRDefault="009047EA" w:rsidP="00236CEB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取样日期</w:t>
            </w:r>
          </w:p>
        </w:tc>
        <w:tc>
          <w:tcPr>
            <w:tcW w:w="947" w:type="dxa"/>
          </w:tcPr>
          <w:p w:rsidR="009047EA" w:rsidRPr="009047EA" w:rsidRDefault="009047EA" w:rsidP="00236CEB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外部症状</w:t>
            </w:r>
          </w:p>
        </w:tc>
        <w:tc>
          <w:tcPr>
            <w:tcW w:w="947" w:type="dxa"/>
          </w:tcPr>
          <w:p w:rsidR="009047EA" w:rsidRPr="009047EA" w:rsidRDefault="009047EA" w:rsidP="009047EA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有无天牛危害</w:t>
            </w:r>
          </w:p>
        </w:tc>
        <w:tc>
          <w:tcPr>
            <w:tcW w:w="947" w:type="dxa"/>
          </w:tcPr>
          <w:p w:rsidR="009047EA" w:rsidRPr="009047EA" w:rsidRDefault="009047EA" w:rsidP="009047EA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木材有无蓝变</w:t>
            </w:r>
          </w:p>
        </w:tc>
        <w:tc>
          <w:tcPr>
            <w:tcW w:w="903" w:type="dxa"/>
          </w:tcPr>
          <w:p w:rsidR="009047EA" w:rsidRPr="009047EA" w:rsidRDefault="009047EA" w:rsidP="009047EA">
            <w:pPr>
              <w:ind w:left="90" w:hangingChars="50" w:hanging="9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是否为优势木</w:t>
            </w:r>
          </w:p>
        </w:tc>
        <w:tc>
          <w:tcPr>
            <w:tcW w:w="1275" w:type="dxa"/>
          </w:tcPr>
          <w:p w:rsidR="009047EA" w:rsidRPr="009047EA" w:rsidRDefault="009047EA" w:rsidP="009047EA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整株或枝条表现症状</w:t>
            </w:r>
          </w:p>
        </w:tc>
        <w:tc>
          <w:tcPr>
            <w:tcW w:w="993" w:type="dxa"/>
          </w:tcPr>
          <w:p w:rsidR="009047EA" w:rsidRPr="009047EA" w:rsidRDefault="009047EA" w:rsidP="00236CEB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取样部位</w:t>
            </w:r>
          </w:p>
        </w:tc>
        <w:tc>
          <w:tcPr>
            <w:tcW w:w="617" w:type="dxa"/>
          </w:tcPr>
          <w:p w:rsidR="009047EA" w:rsidRPr="009047EA" w:rsidRDefault="009047EA" w:rsidP="00236CEB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9047EA" w:rsidTr="009047EA">
        <w:tc>
          <w:tcPr>
            <w:tcW w:w="946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</w:tr>
      <w:tr w:rsidR="009047EA" w:rsidTr="009047EA">
        <w:tc>
          <w:tcPr>
            <w:tcW w:w="946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</w:tr>
      <w:tr w:rsidR="009047EA" w:rsidTr="009047EA">
        <w:tc>
          <w:tcPr>
            <w:tcW w:w="946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9047EA" w:rsidRDefault="009047EA" w:rsidP="00236CEB">
            <w:pPr>
              <w:rPr>
                <w:b/>
                <w:sz w:val="28"/>
                <w:szCs w:val="28"/>
              </w:rPr>
            </w:pPr>
          </w:p>
        </w:tc>
      </w:tr>
    </w:tbl>
    <w:p w:rsidR="007C7832" w:rsidRDefault="009047EA" w:rsidP="00236CEB">
      <w:pPr>
        <w:rPr>
          <w:sz w:val="28"/>
          <w:szCs w:val="28"/>
        </w:rPr>
      </w:pPr>
      <w:r w:rsidRPr="009047EA">
        <w:rPr>
          <w:rFonts w:hint="eastAsia"/>
          <w:sz w:val="28"/>
          <w:szCs w:val="28"/>
        </w:rPr>
        <w:t>填表人：</w:t>
      </w:r>
      <w:r w:rsidRPr="009047EA">
        <w:rPr>
          <w:rFonts w:hint="eastAsia"/>
          <w:sz w:val="28"/>
          <w:szCs w:val="28"/>
        </w:rPr>
        <w:t xml:space="preserve">                          </w:t>
      </w:r>
      <w:r w:rsidRPr="009047EA">
        <w:rPr>
          <w:rFonts w:hint="eastAsia"/>
          <w:sz w:val="28"/>
          <w:szCs w:val="28"/>
        </w:rPr>
        <w:t>取样时间：</w:t>
      </w:r>
    </w:p>
    <w:p w:rsidR="009047EA" w:rsidRDefault="009047EA" w:rsidP="00236CEB">
      <w:pPr>
        <w:rPr>
          <w:sz w:val="28"/>
          <w:szCs w:val="28"/>
        </w:rPr>
      </w:pPr>
    </w:p>
    <w:p w:rsidR="009047EA" w:rsidRPr="009047EA" w:rsidRDefault="009047EA" w:rsidP="009047EA">
      <w:pPr>
        <w:jc w:val="center"/>
        <w:rPr>
          <w:b/>
          <w:sz w:val="28"/>
          <w:szCs w:val="28"/>
          <w:shd w:val="clear" w:color="auto" w:fill="FFFFFF"/>
        </w:rPr>
      </w:pPr>
      <w:r w:rsidRPr="009047EA">
        <w:rPr>
          <w:rFonts w:hint="eastAsia"/>
          <w:b/>
          <w:sz w:val="28"/>
          <w:szCs w:val="28"/>
          <w:shd w:val="clear" w:color="auto" w:fill="FFFFFF"/>
        </w:rPr>
        <w:t>附表</w:t>
      </w:r>
      <w:r w:rsidRPr="009047EA">
        <w:rPr>
          <w:rFonts w:hint="eastAsia"/>
          <w:b/>
          <w:sz w:val="28"/>
          <w:szCs w:val="28"/>
          <w:shd w:val="clear" w:color="auto" w:fill="FFFFFF"/>
        </w:rPr>
        <w:t>2</w:t>
      </w:r>
      <w:r w:rsidRPr="009047EA">
        <w:rPr>
          <w:rFonts w:hint="eastAsia"/>
          <w:b/>
          <w:sz w:val="28"/>
          <w:szCs w:val="28"/>
          <w:shd w:val="clear" w:color="auto" w:fill="FFFFFF"/>
        </w:rPr>
        <w:t>：松木及其制品检疫</w:t>
      </w:r>
      <w:r w:rsidR="00C73C1A">
        <w:rPr>
          <w:rFonts w:hint="eastAsia"/>
          <w:b/>
          <w:sz w:val="28"/>
          <w:szCs w:val="28"/>
          <w:shd w:val="clear" w:color="auto" w:fill="FFFFFF"/>
        </w:rPr>
        <w:t>检查</w:t>
      </w:r>
      <w:r w:rsidRPr="009047EA">
        <w:rPr>
          <w:rFonts w:hint="eastAsia"/>
          <w:b/>
          <w:sz w:val="28"/>
          <w:szCs w:val="28"/>
          <w:shd w:val="clear" w:color="auto" w:fill="FFFFFF"/>
        </w:rPr>
        <w:t>抽样记录表</w:t>
      </w:r>
    </w:p>
    <w:p w:rsidR="009047EA" w:rsidRDefault="009047EA" w:rsidP="009047EA">
      <w:pPr>
        <w:rPr>
          <w:b/>
          <w:sz w:val="28"/>
          <w:szCs w:val="28"/>
        </w:rPr>
      </w:pP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市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，县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 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检查地点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  </w:t>
      </w:r>
      <w:r w:rsidRPr="007C7832">
        <w:rPr>
          <w:rFonts w:ascii="Arial" w:hAnsi="Arial" w:cs="Arial" w:hint="eastAsia"/>
          <w:sz w:val="28"/>
          <w:szCs w:val="28"/>
          <w:u w:val="single"/>
          <w:shd w:val="clear" w:color="auto" w:fill="FFFFFF"/>
        </w:rPr>
        <w:t xml:space="preserve">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</w:t>
      </w:r>
      <w:r w:rsidRPr="007C7832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货物种类</w:t>
      </w:r>
      <w:r w:rsidRPr="007C7832">
        <w:rPr>
          <w:rFonts w:hint="eastAsia"/>
          <w:sz w:val="28"/>
          <w:szCs w:val="28"/>
          <w:u w:val="single"/>
        </w:rPr>
        <w:t xml:space="preserve">     </w:t>
      </w:r>
      <w:r w:rsidRPr="007C7832">
        <w:rPr>
          <w:rFonts w:hint="eastAsia"/>
          <w:sz w:val="28"/>
          <w:szCs w:val="28"/>
        </w:rPr>
        <w:t>，数量</w:t>
      </w:r>
      <w:r>
        <w:rPr>
          <w:rFonts w:hint="eastAsia"/>
          <w:sz w:val="28"/>
          <w:szCs w:val="28"/>
          <w:u w:val="single"/>
        </w:rPr>
        <w:t xml:space="preserve">   </w:t>
      </w:r>
      <w:r w:rsidRPr="007C783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709"/>
        <w:gridCol w:w="709"/>
        <w:gridCol w:w="709"/>
        <w:gridCol w:w="1559"/>
        <w:gridCol w:w="709"/>
      </w:tblGrid>
      <w:tr w:rsidR="009047EA" w:rsidTr="009047EA">
        <w:tc>
          <w:tcPr>
            <w:tcW w:w="959" w:type="dxa"/>
          </w:tcPr>
          <w:p w:rsidR="009047EA" w:rsidRPr="009047EA" w:rsidRDefault="009047EA" w:rsidP="009C7269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外部症状</w:t>
            </w:r>
          </w:p>
        </w:tc>
        <w:tc>
          <w:tcPr>
            <w:tcW w:w="1134" w:type="dxa"/>
          </w:tcPr>
          <w:p w:rsidR="009047EA" w:rsidRDefault="009047EA" w:rsidP="009C7269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有无天牛</w:t>
            </w:r>
          </w:p>
          <w:p w:rsidR="009047EA" w:rsidRPr="009047EA" w:rsidRDefault="009047EA" w:rsidP="009047EA">
            <w:pPr>
              <w:ind w:leftChars="100" w:left="21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危害</w:t>
            </w:r>
          </w:p>
        </w:tc>
        <w:tc>
          <w:tcPr>
            <w:tcW w:w="992" w:type="dxa"/>
          </w:tcPr>
          <w:p w:rsidR="009047EA" w:rsidRPr="009047EA" w:rsidRDefault="009047EA" w:rsidP="009C7269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木材有无蓝变</w:t>
            </w:r>
          </w:p>
        </w:tc>
        <w:tc>
          <w:tcPr>
            <w:tcW w:w="992" w:type="dxa"/>
          </w:tcPr>
          <w:p w:rsidR="009047EA" w:rsidRPr="009047EA" w:rsidRDefault="009047EA" w:rsidP="009047EA">
            <w:pPr>
              <w:ind w:left="180" w:hangingChars="100" w:hanging="180"/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有无</w:t>
            </w:r>
            <w:proofErr w:type="gramStart"/>
            <w:r w:rsidRPr="009047EA">
              <w:rPr>
                <w:rFonts w:hint="eastAsia"/>
                <w:sz w:val="18"/>
                <w:szCs w:val="18"/>
              </w:rPr>
              <w:t>天牛</w:t>
            </w:r>
            <w:r>
              <w:rPr>
                <w:rFonts w:hint="eastAsia"/>
                <w:sz w:val="18"/>
                <w:szCs w:val="18"/>
              </w:rPr>
              <w:t>蛹室</w:t>
            </w:r>
            <w:proofErr w:type="gramEnd"/>
          </w:p>
        </w:tc>
        <w:tc>
          <w:tcPr>
            <w:tcW w:w="709" w:type="dxa"/>
          </w:tcPr>
          <w:p w:rsidR="009047EA" w:rsidRDefault="009047EA" w:rsidP="009047EA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取样</w:t>
            </w:r>
          </w:p>
          <w:p w:rsidR="009047EA" w:rsidRPr="009047EA" w:rsidRDefault="009047EA" w:rsidP="009047EA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部位</w:t>
            </w:r>
          </w:p>
        </w:tc>
        <w:tc>
          <w:tcPr>
            <w:tcW w:w="709" w:type="dxa"/>
          </w:tcPr>
          <w:p w:rsidR="009047EA" w:rsidRDefault="009047EA" w:rsidP="009C7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取样</w:t>
            </w:r>
          </w:p>
          <w:p w:rsidR="009047EA" w:rsidRPr="009047EA" w:rsidRDefault="009047EA" w:rsidP="009C7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9047EA" w:rsidRDefault="009047EA" w:rsidP="009C7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</w:t>
            </w:r>
          </w:p>
          <w:p w:rsidR="009047EA" w:rsidRPr="009047EA" w:rsidRDefault="009047EA" w:rsidP="009C7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559" w:type="dxa"/>
          </w:tcPr>
          <w:p w:rsidR="009047EA" w:rsidRPr="009047EA" w:rsidRDefault="009047EA" w:rsidP="009C7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采取的措施</w:t>
            </w:r>
          </w:p>
        </w:tc>
        <w:tc>
          <w:tcPr>
            <w:tcW w:w="709" w:type="dxa"/>
          </w:tcPr>
          <w:p w:rsidR="009047EA" w:rsidRPr="009047EA" w:rsidRDefault="009047EA" w:rsidP="009C7269">
            <w:pPr>
              <w:rPr>
                <w:sz w:val="18"/>
                <w:szCs w:val="18"/>
              </w:rPr>
            </w:pPr>
            <w:r w:rsidRPr="009047EA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9047EA" w:rsidTr="009047EA">
        <w:tc>
          <w:tcPr>
            <w:tcW w:w="9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</w:tr>
      <w:tr w:rsidR="009047EA" w:rsidTr="009047EA">
        <w:tc>
          <w:tcPr>
            <w:tcW w:w="9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</w:tr>
      <w:tr w:rsidR="009047EA" w:rsidTr="009047EA">
        <w:tc>
          <w:tcPr>
            <w:tcW w:w="9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047EA" w:rsidRDefault="009047EA" w:rsidP="009C7269">
            <w:pPr>
              <w:rPr>
                <w:b/>
                <w:sz w:val="28"/>
                <w:szCs w:val="28"/>
              </w:rPr>
            </w:pPr>
          </w:p>
        </w:tc>
      </w:tr>
    </w:tbl>
    <w:p w:rsidR="009047EA" w:rsidRPr="009047EA" w:rsidRDefault="009047EA" w:rsidP="009047EA">
      <w:pPr>
        <w:rPr>
          <w:sz w:val="28"/>
          <w:szCs w:val="28"/>
        </w:rPr>
      </w:pPr>
      <w:r w:rsidRPr="009047EA">
        <w:rPr>
          <w:rFonts w:hint="eastAsia"/>
          <w:sz w:val="28"/>
          <w:szCs w:val="28"/>
        </w:rPr>
        <w:t>填表人：</w:t>
      </w:r>
      <w:r w:rsidRPr="009047EA">
        <w:rPr>
          <w:rFonts w:hint="eastAsia"/>
          <w:sz w:val="28"/>
          <w:szCs w:val="28"/>
        </w:rPr>
        <w:t xml:space="preserve">                          </w:t>
      </w:r>
      <w:r w:rsidRPr="009047EA">
        <w:rPr>
          <w:rFonts w:hint="eastAsia"/>
          <w:sz w:val="28"/>
          <w:szCs w:val="28"/>
        </w:rPr>
        <w:t>取样时间：</w:t>
      </w:r>
    </w:p>
    <w:p w:rsidR="009047EA" w:rsidRPr="009047EA" w:rsidRDefault="009047EA" w:rsidP="00236CEB">
      <w:pPr>
        <w:rPr>
          <w:sz w:val="28"/>
          <w:szCs w:val="28"/>
        </w:rPr>
      </w:pPr>
    </w:p>
    <w:sectPr w:rsidR="009047EA" w:rsidRPr="009047EA" w:rsidSect="00671D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FC" w:rsidRDefault="008122FC" w:rsidP="00236CEB">
      <w:r>
        <w:separator/>
      </w:r>
    </w:p>
  </w:endnote>
  <w:endnote w:type="continuationSeparator" w:id="0">
    <w:p w:rsidR="008122FC" w:rsidRDefault="008122FC" w:rsidP="002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49876"/>
      <w:docPartObj>
        <w:docPartGallery w:val="Page Numbers (Bottom of Page)"/>
        <w:docPartUnique/>
      </w:docPartObj>
    </w:sdtPr>
    <w:sdtEndPr/>
    <w:sdtContent>
      <w:p w:rsidR="00E04FED" w:rsidRDefault="00584E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D8" w:rsidRPr="001646D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E04FED" w:rsidRDefault="00E04F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FC" w:rsidRDefault="008122FC" w:rsidP="00236CEB">
      <w:r>
        <w:separator/>
      </w:r>
    </w:p>
  </w:footnote>
  <w:footnote w:type="continuationSeparator" w:id="0">
    <w:p w:rsidR="008122FC" w:rsidRDefault="008122FC" w:rsidP="0023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CCF"/>
    <w:multiLevelType w:val="hybridMultilevel"/>
    <w:tmpl w:val="53AC844E"/>
    <w:lvl w:ilvl="0" w:tplc="75DAA11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09C1CCE"/>
    <w:multiLevelType w:val="hybridMultilevel"/>
    <w:tmpl w:val="4030FB06"/>
    <w:lvl w:ilvl="0" w:tplc="2190DDC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70210AA"/>
    <w:multiLevelType w:val="hybridMultilevel"/>
    <w:tmpl w:val="3B081E8E"/>
    <w:lvl w:ilvl="0" w:tplc="1F86A59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CEB"/>
    <w:rsid w:val="0007142D"/>
    <w:rsid w:val="0008685F"/>
    <w:rsid w:val="000E274F"/>
    <w:rsid w:val="001646D8"/>
    <w:rsid w:val="001660E3"/>
    <w:rsid w:val="001849D9"/>
    <w:rsid w:val="001F639F"/>
    <w:rsid w:val="00221B67"/>
    <w:rsid w:val="00236CEB"/>
    <w:rsid w:val="00291AA2"/>
    <w:rsid w:val="002C3921"/>
    <w:rsid w:val="002F1707"/>
    <w:rsid w:val="00387FA6"/>
    <w:rsid w:val="003A7CD1"/>
    <w:rsid w:val="00406759"/>
    <w:rsid w:val="00415E3E"/>
    <w:rsid w:val="00432CB1"/>
    <w:rsid w:val="00440A62"/>
    <w:rsid w:val="00451106"/>
    <w:rsid w:val="004C71A6"/>
    <w:rsid w:val="004F6C8A"/>
    <w:rsid w:val="00583346"/>
    <w:rsid w:val="00584EAB"/>
    <w:rsid w:val="00671DE5"/>
    <w:rsid w:val="00711082"/>
    <w:rsid w:val="0079177C"/>
    <w:rsid w:val="007B28BC"/>
    <w:rsid w:val="007C7832"/>
    <w:rsid w:val="008122FC"/>
    <w:rsid w:val="009033CC"/>
    <w:rsid w:val="009047EA"/>
    <w:rsid w:val="00975522"/>
    <w:rsid w:val="009A2C3D"/>
    <w:rsid w:val="00AE3507"/>
    <w:rsid w:val="00B37FA5"/>
    <w:rsid w:val="00C155DA"/>
    <w:rsid w:val="00C35B29"/>
    <w:rsid w:val="00C73C1A"/>
    <w:rsid w:val="00D82FC9"/>
    <w:rsid w:val="00DD2D22"/>
    <w:rsid w:val="00E04FED"/>
    <w:rsid w:val="00F35A7F"/>
    <w:rsid w:val="00F47CE5"/>
    <w:rsid w:val="00F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EB"/>
    <w:rPr>
      <w:sz w:val="18"/>
      <w:szCs w:val="18"/>
    </w:rPr>
  </w:style>
  <w:style w:type="paragraph" w:styleId="a5">
    <w:name w:val="List Paragraph"/>
    <w:basedOn w:val="a"/>
    <w:uiPriority w:val="34"/>
    <w:qFormat/>
    <w:rsid w:val="00236CEB"/>
    <w:pPr>
      <w:ind w:firstLineChars="200" w:firstLine="420"/>
    </w:pPr>
  </w:style>
  <w:style w:type="table" w:styleId="a6">
    <w:name w:val="Table Grid"/>
    <w:basedOn w:val="a1"/>
    <w:uiPriority w:val="59"/>
    <w:rsid w:val="00904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WD</cp:lastModifiedBy>
  <cp:revision>18</cp:revision>
  <dcterms:created xsi:type="dcterms:W3CDTF">2017-02-21T07:19:00Z</dcterms:created>
  <dcterms:modified xsi:type="dcterms:W3CDTF">2017-02-27T02:15:00Z</dcterms:modified>
</cp:coreProperties>
</file>