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  <w:bookmarkStart w:id="0" w:name="bookmark22"/>
      <w:bookmarkStart w:id="1" w:name="bookmark21"/>
      <w:bookmarkStart w:id="2" w:name="bookmark20"/>
      <w:r>
        <w:rPr>
          <w:rFonts w:hint="eastAsia" w:asciiTheme="majorEastAsia" w:hAnsiTheme="majorEastAsia" w:eastAsiaTheme="majorEastAsia"/>
          <w:sz w:val="28"/>
          <w:szCs w:val="28"/>
        </w:rPr>
        <w:t>附件3</w:t>
      </w:r>
    </w:p>
    <w:p>
      <w:pPr>
        <w:spacing w:after="0" w:line="560" w:lineRule="exact"/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国家重点保护野生植物采集（补植）方案</w:t>
      </w:r>
    </w:p>
    <w:p>
      <w:pPr>
        <w:spacing w:after="0" w:line="560" w:lineRule="exact"/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（编写大纲）</w:t>
      </w:r>
    </w:p>
    <w:p>
      <w:pPr>
        <w:pStyle w:val="9"/>
        <w:keepNext/>
        <w:keepLines/>
        <w:spacing w:after="0" w:line="540" w:lineRule="exact"/>
        <w:jc w:val="center"/>
        <w:rPr>
          <w:rFonts w:cs="Times New Roman" w:asciiTheme="minorEastAsia" w:hAnsiTheme="minorEastAsia" w:eastAsiaTheme="minorEastAsia"/>
          <w:b/>
          <w:bCs/>
          <w:sz w:val="44"/>
          <w:szCs w:val="44"/>
          <w:lang w:val="en-US" w:eastAsia="zh-CN" w:bidi="en-US"/>
        </w:rPr>
      </w:pP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eastAsia="黑体"/>
          <w:bCs/>
          <w:lang w:eastAsia="zh-CN"/>
        </w:rPr>
      </w:pPr>
      <w:r>
        <w:rPr>
          <w:rFonts w:hint="eastAsia" w:ascii="黑体" w:hAnsi="黑体" w:eastAsia="黑体" w:cs="黑体"/>
          <w:bCs/>
          <w:lang w:val="en-US" w:eastAsia="zh-CN" w:bidi="en-US"/>
        </w:rPr>
        <w:t>一、</w:t>
      </w:r>
      <w:bookmarkEnd w:id="0"/>
      <w:bookmarkEnd w:id="1"/>
      <w:bookmarkEnd w:id="2"/>
      <w:r>
        <w:rPr>
          <w:rFonts w:hint="eastAsia" w:ascii="黑体" w:hAnsi="黑体" w:eastAsia="黑体" w:cs="黑体"/>
          <w:bCs/>
          <w:lang w:val="en-US" w:eastAsia="zh-CN" w:bidi="en-US"/>
        </w:rPr>
        <w:t>项目</w:t>
      </w:r>
      <w:r>
        <w:rPr>
          <w:rFonts w:hint="eastAsia" w:ascii="黑体" w:hAnsi="黑体" w:eastAsia="黑体" w:cs="黑体"/>
          <w:bCs/>
          <w:lang w:val="en-US" w:eastAsia="zh-CN"/>
        </w:rPr>
        <w:t>概况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Times New Roman" w:hAnsi="Times New Roman" w:eastAsia="仿宋_GB2312"/>
          <w:lang w:eastAsia="zh-CN"/>
        </w:rPr>
      </w:pPr>
      <w:bookmarkStart w:id="3" w:name="bookmark25"/>
      <w:bookmarkStart w:id="4" w:name="bookmark23"/>
      <w:bookmarkStart w:id="5" w:name="bookmark24"/>
      <w:r>
        <w:rPr>
          <w:rFonts w:hint="eastAsia" w:ascii="仿宋" w:hAnsi="仿宋" w:eastAsia="仿宋"/>
          <w:lang w:val="en-US" w:eastAsia="zh-CN"/>
        </w:rPr>
        <w:t>1.</w:t>
      </w:r>
      <w:r>
        <w:rPr>
          <w:rFonts w:ascii="仿宋" w:hAnsi="仿宋" w:eastAsia="仿宋"/>
        </w:rPr>
        <w:t>项目名称</w:t>
      </w:r>
      <w:bookmarkEnd w:id="3"/>
      <w:bookmarkEnd w:id="4"/>
      <w:bookmarkEnd w:id="5"/>
      <w:bookmarkStart w:id="6" w:name="bookmark27"/>
      <w:bookmarkStart w:id="7" w:name="bookmark28"/>
      <w:bookmarkStart w:id="8" w:name="bookmark26"/>
    </w:p>
    <w:bookmarkEnd w:id="6"/>
    <w:bookmarkEnd w:id="7"/>
    <w:bookmarkEnd w:id="8"/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2.项目实施单位（编制单位）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3.项目实施地点（包括县、乡镇、林场）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4.项目采集总量</w:t>
      </w:r>
      <w:bookmarkStart w:id="9" w:name="bookmark35"/>
      <w:bookmarkStart w:id="10" w:name="bookmark37"/>
      <w:bookmarkStart w:id="11" w:name="bookmark36"/>
    </w:p>
    <w:bookmarkEnd w:id="9"/>
    <w:bookmarkEnd w:id="10"/>
    <w:bookmarkEnd w:id="11"/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  <w:lang w:val="en-US" w:eastAsia="zh-CN"/>
        </w:rPr>
      </w:pPr>
      <w:bookmarkStart w:id="12" w:name="bookmark40"/>
      <w:bookmarkStart w:id="13" w:name="bookmark39"/>
      <w:bookmarkStart w:id="14" w:name="bookmark38"/>
      <w:r>
        <w:rPr>
          <w:rFonts w:hint="eastAsia" w:ascii="仿宋" w:hAnsi="仿宋" w:eastAsia="仿宋"/>
          <w:lang w:val="en-US" w:eastAsia="zh-CN"/>
        </w:rPr>
        <w:t>5.</w:t>
      </w:r>
      <w:r>
        <w:rPr>
          <w:rFonts w:ascii="仿宋" w:hAnsi="仿宋" w:eastAsia="仿宋"/>
        </w:rPr>
        <w:t>项目</w:t>
      </w:r>
      <w:bookmarkEnd w:id="12"/>
      <w:bookmarkEnd w:id="13"/>
      <w:bookmarkEnd w:id="14"/>
      <w:r>
        <w:rPr>
          <w:rFonts w:hint="eastAsia" w:ascii="仿宋" w:hAnsi="仿宋" w:eastAsia="仿宋"/>
          <w:lang w:val="en-US" w:eastAsia="zh-CN"/>
        </w:rPr>
        <w:t>实施期限（期限为1年）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6.编制依据（相关法律法规、文件及技术规程）</w:t>
      </w:r>
    </w:p>
    <w:p>
      <w:pPr>
        <w:pStyle w:val="9"/>
        <w:keepNext/>
        <w:keepLines/>
        <w:numPr>
          <w:ilvl w:val="0"/>
          <w:numId w:val="1"/>
        </w:numPr>
        <w:spacing w:after="0" w:line="540" w:lineRule="exact"/>
        <w:ind w:firstLine="640" w:firstLineChars="200"/>
        <w:jc w:val="both"/>
        <w:rPr>
          <w:rFonts w:ascii="黑体" w:hAnsi="黑体" w:eastAsia="黑体" w:cs="仿宋"/>
          <w:lang w:val="en-US" w:eastAsia="zh-CN"/>
        </w:rPr>
      </w:pPr>
      <w:r>
        <w:rPr>
          <w:rFonts w:hint="eastAsia" w:ascii="黑体" w:hAnsi="黑体" w:eastAsia="黑体" w:cs="仿宋"/>
          <w:lang w:val="en-US" w:eastAsia="zh-CN"/>
        </w:rPr>
        <w:t>项目建设必要性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1.项目背景（项目实施可行性、项目及环境背景）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2.采集原因（全过程分析原因）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3.项目实施原则（各环节的实施原则）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4.项目实施目的（围绕保护树种种群数量平衡和保护生物多样性进行表述）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  <w:lang w:val="en-US" w:eastAsia="zh-CN"/>
        </w:rPr>
      </w:pPr>
      <w:r>
        <w:rPr>
          <w:rFonts w:hint="eastAsia" w:ascii="黑体" w:hAnsi="黑体" w:eastAsia="黑体"/>
          <w:bCs/>
          <w:lang w:val="en-US" w:eastAsia="zh-CN"/>
        </w:rPr>
        <w:t>三、项目实施条件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1.采集树种分布（包括县、乡镇或林场、林班、小班及采集树种和株数）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2.采集方式（胸径12cm（含）以下移植株数和12cm以上采伐株数，如胸径12cm（含）以下进行采伐，应说明原因）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黑体" w:hAnsi="黑体" w:eastAsia="黑体"/>
          <w:bCs/>
          <w:lang w:val="en-US" w:eastAsia="zh-CN"/>
        </w:rPr>
      </w:pPr>
      <w:r>
        <w:rPr>
          <w:rFonts w:hint="eastAsia" w:ascii="黑体" w:hAnsi="黑体" w:eastAsia="黑体"/>
          <w:bCs/>
          <w:lang w:val="en-US" w:eastAsia="zh-CN"/>
        </w:rPr>
        <w:t>四、采集作业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1.保护树种采伐（注意采伐、移植、补植数量的逻辑关系）</w:t>
      </w:r>
    </w:p>
    <w:p>
      <w:pPr>
        <w:pStyle w:val="9"/>
        <w:keepNext/>
        <w:keepLines/>
        <w:spacing w:after="0" w:line="540" w:lineRule="exact"/>
        <w:ind w:firstLine="640" w:firstLineChars="20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2.保护树种移植（移植数量）</w:t>
      </w:r>
    </w:p>
    <w:p>
      <w:pPr>
        <w:pStyle w:val="10"/>
        <w:spacing w:after="0" w:line="54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3.移植时间（细化具体时间）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4.移植地点（详细到林班、小班）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5.移植密度（结合拟移植地块现状，确定移植密度）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6.移植主要流程（包括准备工作</w:t>
      </w:r>
      <w:bookmarkStart w:id="15" w:name="bookmark74"/>
      <w:bookmarkEnd w:id="15"/>
      <w:r>
        <w:rPr>
          <w:rFonts w:hint="eastAsia" w:ascii="仿宋" w:hAnsi="仿宋" w:eastAsia="仿宋"/>
          <w:sz w:val="32"/>
          <w:szCs w:val="32"/>
          <w:lang w:val="en-US" w:eastAsia="zh-CN"/>
        </w:rPr>
        <w:t>、釆挖</w:t>
      </w:r>
      <w:bookmarkStart w:id="16" w:name="bookmark75"/>
      <w:bookmarkEnd w:id="16"/>
      <w:r>
        <w:rPr>
          <w:rFonts w:hint="eastAsia" w:ascii="仿宋" w:hAnsi="仿宋" w:eastAsia="仿宋"/>
          <w:sz w:val="32"/>
          <w:szCs w:val="32"/>
          <w:lang w:val="en-US" w:eastAsia="zh-CN"/>
        </w:rPr>
        <w:t>、包装、吊装、运输、栽植、浇水、中耕、支树架、输入营养液等）</w:t>
      </w:r>
      <w:bookmarkStart w:id="17" w:name="bookmark73"/>
      <w:bookmarkEnd w:id="17"/>
    </w:p>
    <w:p>
      <w:pPr>
        <w:pStyle w:val="10"/>
        <w:tabs>
          <w:tab w:val="left" w:pos="1284"/>
        </w:tabs>
        <w:spacing w:after="0" w:line="540" w:lineRule="exact"/>
        <w:ind w:firstLine="643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异地补植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1.保护树种补植（补植数量及补植比例）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2.苗木来源（写明苗木基地及现存种类数量，应包含所有补植树种）</w:t>
      </w:r>
      <w:bookmarkStart w:id="18" w:name="_GoBack"/>
      <w:bookmarkEnd w:id="18"/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3.苗木苗龄（按照最新国家标准《主要适林树种苗木质量分级（GB6000）》规定的Ⅱ级以上良种壮苗进行造林）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4.补植时间（细化具体时间）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5.补植地点（详细到林班、小班）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6.补植密度（选择郁闭度0.5（含）以下地块，最低密度为1111株/公顷）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7.补植方法（按照最新的《造林技术规程》进行表述）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8.苗木成活率（干旱或半干旱地区当年成活率不低于70％，三年保存率不低于65％；其他地区当年成活率不低于85％，三年保存率不低于80％。）</w:t>
      </w:r>
    </w:p>
    <w:p>
      <w:pPr>
        <w:pStyle w:val="10"/>
        <w:spacing w:after="0" w:line="540" w:lineRule="exact"/>
        <w:ind w:firstLine="643" w:firstLineChars="200"/>
        <w:jc w:val="both"/>
        <w:rPr>
          <w:rFonts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六、投资估算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1.投资概算依据（包括工程计价、同类工程预决算价格等）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2.投资总额（移植、补植、后期管护等总费用）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3.资金来源（实施单位预留资金情况）</w:t>
      </w:r>
    </w:p>
    <w:p>
      <w:pPr>
        <w:pStyle w:val="10"/>
        <w:spacing w:after="0" w:line="540" w:lineRule="exact"/>
        <w:ind w:firstLine="643" w:firstLineChars="200"/>
        <w:jc w:val="both"/>
        <w:rPr>
          <w:rFonts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、管护标准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管护</w:t>
      </w:r>
      <w:r>
        <w:rPr>
          <w:rFonts w:ascii="仿宋" w:hAnsi="仿宋" w:eastAsia="仿宋"/>
          <w:sz w:val="32"/>
          <w:szCs w:val="32"/>
        </w:rPr>
        <w:t>目的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有效提高当年成活率和三年保存率，实现资源总量不减少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2.抚育</w:t>
      </w:r>
      <w:r>
        <w:rPr>
          <w:rFonts w:ascii="仿宋" w:hAnsi="仿宋" w:eastAsia="仿宋"/>
          <w:sz w:val="32"/>
          <w:szCs w:val="32"/>
        </w:rPr>
        <w:t>时间及次数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针叶树抚育5年，阔叶树抚育3年，前2年每年抚育2次，3年后每年抚育1次。细化具体抚育时间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10"/>
        <w:spacing w:after="0" w:line="54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管护</w:t>
      </w:r>
      <w:r>
        <w:rPr>
          <w:rFonts w:ascii="仿宋" w:hAnsi="仿宋" w:eastAsia="仿宋"/>
          <w:sz w:val="32"/>
          <w:szCs w:val="32"/>
        </w:rPr>
        <w:t>方式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浇水、松土、施肥、割灌除草等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4.林业有害生物防治（加强病虫鼠害预测预报和防治）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  <w:lang w:eastAsia="zh-CN"/>
        </w:rPr>
        <w:t>森林防火（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加强森林防火巡护和林区管理等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after="0" w:line="540" w:lineRule="exact"/>
        <w:rPr>
          <w:bCs/>
        </w:rPr>
      </w:pP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附表：1.国家重点保护野生植物移植作业设计表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 xml:space="preserve">      2.国家重点保护野生植物补植作业设计表</w:t>
      </w:r>
    </w:p>
    <w:p>
      <w:pPr>
        <w:pStyle w:val="10"/>
        <w:spacing w:after="0" w:line="540" w:lineRule="exact"/>
        <w:ind w:firstLine="0"/>
        <w:jc w:val="both"/>
        <w:rPr>
          <w:rFonts w:ascii="仿宋" w:hAnsi="仿宋" w:eastAsia="仿宋"/>
          <w:bCs/>
          <w:sz w:val="32"/>
          <w:szCs w:val="32"/>
          <w:lang w:eastAsia="zh-CN"/>
        </w:rPr>
      </w:pPr>
    </w:p>
    <w:p>
      <w:pPr>
        <w:pStyle w:val="10"/>
        <w:spacing w:after="0" w:line="540" w:lineRule="exact"/>
        <w:ind w:firstLine="0"/>
        <w:jc w:val="both"/>
        <w:rPr>
          <w:rFonts w:ascii="仿宋" w:hAnsi="仿宋" w:eastAsia="仿宋"/>
          <w:bCs/>
          <w:sz w:val="32"/>
          <w:szCs w:val="32"/>
          <w:lang w:eastAsia="zh-CN"/>
        </w:rPr>
      </w:pP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 xml:space="preserve">                          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实施单位（公章）</w:t>
      </w:r>
    </w:p>
    <w:p>
      <w:pPr>
        <w:pStyle w:val="10"/>
        <w:spacing w:after="0" w:line="540" w:lineRule="exact"/>
        <w:ind w:firstLine="640" w:firstLineChars="20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 xml:space="preserve">                         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 xml:space="preserve">月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日</w:t>
      </w:r>
    </w:p>
    <w:p>
      <w:pPr>
        <w:spacing w:after="0" w:line="5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4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附</w:t>
      </w:r>
      <w:r>
        <w:rPr>
          <w:rFonts w:hint="eastAsia" w:ascii="宋体" w:hAnsi="宋体" w:eastAsia="宋体"/>
          <w:sz w:val="28"/>
          <w:szCs w:val="28"/>
        </w:rPr>
        <w:t>表1</w:t>
      </w:r>
    </w:p>
    <w:p>
      <w:pPr>
        <w:spacing w:after="0" w:line="540" w:lineRule="exact"/>
      </w:pPr>
    </w:p>
    <w:p>
      <w:pPr>
        <w:spacing w:after="0" w:line="540" w:lineRule="exact"/>
        <w:jc w:val="center"/>
        <w:rPr>
          <w:rFonts w:ascii="黑体" w:hAnsi="黑体" w:eastAsia="黑体" w:cs="宋体"/>
          <w:sz w:val="44"/>
          <w:szCs w:val="44"/>
          <w:lang w:bidi="zh-TW"/>
        </w:rPr>
      </w:pPr>
      <w:r>
        <w:rPr>
          <w:rFonts w:hint="eastAsia" w:ascii="黑体" w:hAnsi="黑体" w:eastAsia="黑体" w:cs="宋体"/>
          <w:sz w:val="44"/>
          <w:szCs w:val="44"/>
          <w:lang w:bidi="zh-TW"/>
        </w:rPr>
        <w:t>国家重点保护野生植物移植作业设计表</w:t>
      </w:r>
    </w:p>
    <w:p>
      <w:pPr>
        <w:spacing w:after="0" w:line="540" w:lineRule="exact"/>
        <w:jc w:val="center"/>
        <w:rPr>
          <w:rFonts w:ascii="仿宋" w:hAnsi="仿宋" w:eastAsia="仿宋" w:cs="宋体"/>
          <w:sz w:val="32"/>
          <w:szCs w:val="32"/>
          <w:lang w:bidi="zh-TW"/>
        </w:rPr>
      </w:pPr>
    </w:p>
    <w:p>
      <w:pPr>
        <w:spacing w:after="0" w:line="540" w:lineRule="exact"/>
        <w:ind w:left="-992" w:leftChars="-451" w:right="-625" w:rightChars="-284"/>
        <w:rPr>
          <w:rFonts w:ascii="仿宋" w:hAnsi="仿宋" w:eastAsia="仿宋" w:cs="宋体"/>
          <w:sz w:val="24"/>
          <w:szCs w:val="24"/>
          <w:lang w:bidi="zh-TW"/>
        </w:rPr>
      </w:pPr>
      <w:r>
        <w:rPr>
          <w:rFonts w:hint="eastAsia" w:ascii="仿宋" w:hAnsi="仿宋" w:eastAsia="仿宋" w:cs="宋体"/>
          <w:sz w:val="24"/>
          <w:szCs w:val="24"/>
          <w:lang w:bidi="zh-TW"/>
        </w:rPr>
        <w:t>单位 （公章）：</w:t>
      </w:r>
      <w:r>
        <w:rPr>
          <w:rFonts w:hint="eastAsia" w:ascii="仿宋" w:hAnsi="仿宋" w:eastAsia="仿宋" w:cs="宋体"/>
          <w:sz w:val="32"/>
          <w:szCs w:val="32"/>
          <w:lang w:bidi="zh-TW"/>
        </w:rPr>
        <w:t xml:space="preserve">                                 </w:t>
      </w:r>
    </w:p>
    <w:tbl>
      <w:tblPr>
        <w:tblStyle w:val="5"/>
        <w:tblW w:w="9825" w:type="dxa"/>
        <w:tblInd w:w="-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50"/>
        <w:gridCol w:w="563"/>
        <w:gridCol w:w="937"/>
        <w:gridCol w:w="913"/>
        <w:gridCol w:w="846"/>
        <w:gridCol w:w="851"/>
        <w:gridCol w:w="966"/>
        <w:gridCol w:w="846"/>
        <w:gridCol w:w="1199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5" w:type="dxa"/>
            <w:vMerge w:val="restart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乡镇（</w:t>
            </w: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林场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）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林班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小班</w: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面积</w:t>
            </w:r>
          </w:p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（面积）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密度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 xml:space="preserve"> （株/公顷）</w:t>
            </w:r>
          </w:p>
        </w:tc>
        <w:tc>
          <w:tcPr>
            <w:tcW w:w="3509" w:type="dxa"/>
            <w:gridSpan w:val="4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树种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25" w:type="dxa"/>
            <w:vMerge w:val="continue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红松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（株）</w:t>
            </w: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水曲柳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（株）</w:t>
            </w: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黄菠萝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（株）</w:t>
            </w: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紫椴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（株）</w:t>
            </w:r>
          </w:p>
        </w:tc>
        <w:tc>
          <w:tcPr>
            <w:tcW w:w="119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横坐标</w:t>
            </w:r>
          </w:p>
        </w:tc>
        <w:tc>
          <w:tcPr>
            <w:tcW w:w="112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纵坐标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2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ascii="仿宋" w:hAnsi="仿宋" w:eastAsia="仿宋" w:cs="宋体"/>
                <w:sz w:val="20"/>
                <w:szCs w:val="20"/>
                <w:lang w:bidi="zh-TW"/>
              </w:rPr>
              <w:t>合计</w:t>
            </w:r>
          </w:p>
        </w:tc>
        <w:tc>
          <w:tcPr>
            <w:tcW w:w="550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63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550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563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937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91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***</w:t>
            </w:r>
          </w:p>
        </w:tc>
        <w:tc>
          <w:tcPr>
            <w:tcW w:w="112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63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63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63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2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63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</w:tr>
    </w:tbl>
    <w:p>
      <w:pPr>
        <w:spacing w:after="0" w:line="540" w:lineRule="exact"/>
        <w:ind w:firstLine="480" w:firstLineChars="200"/>
        <w:rPr>
          <w:rFonts w:ascii="仿宋" w:hAnsi="仿宋" w:eastAsia="仿宋" w:cs="宋体"/>
          <w:sz w:val="24"/>
          <w:szCs w:val="24"/>
          <w:lang w:bidi="zh-TW"/>
        </w:rPr>
      </w:pPr>
    </w:p>
    <w:p>
      <w:pPr>
        <w:spacing w:after="0" w:line="540" w:lineRule="exact"/>
      </w:pPr>
    </w:p>
    <w:p>
      <w:pPr>
        <w:spacing w:after="0" w:line="540" w:lineRule="exact"/>
      </w:pPr>
    </w:p>
    <w:p>
      <w:pPr>
        <w:spacing w:after="0" w:line="540" w:lineRule="exact"/>
      </w:pPr>
    </w:p>
    <w:p>
      <w:pPr>
        <w:spacing w:after="0" w:line="540" w:lineRule="exact"/>
      </w:pPr>
    </w:p>
    <w:p>
      <w:pPr>
        <w:spacing w:after="0" w:line="540" w:lineRule="exact"/>
      </w:pPr>
    </w:p>
    <w:p>
      <w:pPr>
        <w:spacing w:after="0" w:line="540" w:lineRule="exact"/>
      </w:pPr>
    </w:p>
    <w:p>
      <w:pPr>
        <w:spacing w:after="0" w:line="540" w:lineRule="exact"/>
      </w:pPr>
    </w:p>
    <w:p>
      <w:pPr>
        <w:spacing w:after="0" w:line="540" w:lineRule="exact"/>
      </w:pPr>
    </w:p>
    <w:p>
      <w:pPr>
        <w:spacing w:after="0" w:line="540" w:lineRule="exact"/>
      </w:pPr>
    </w:p>
    <w:p>
      <w:pPr>
        <w:spacing w:after="0" w:line="540" w:lineRule="exact"/>
      </w:pPr>
    </w:p>
    <w:p>
      <w:pPr>
        <w:spacing w:after="0" w:line="54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/>
          <w:sz w:val="28"/>
          <w:szCs w:val="28"/>
        </w:rPr>
        <w:t>2</w:t>
      </w:r>
    </w:p>
    <w:p>
      <w:pPr>
        <w:spacing w:after="0" w:line="540" w:lineRule="exact"/>
        <w:ind w:firstLine="480" w:firstLineChars="200"/>
        <w:rPr>
          <w:rFonts w:ascii="仿宋" w:hAnsi="仿宋" w:eastAsia="仿宋" w:cs="宋体"/>
          <w:sz w:val="24"/>
          <w:szCs w:val="24"/>
          <w:lang w:bidi="zh-TW"/>
        </w:rPr>
      </w:pPr>
    </w:p>
    <w:p>
      <w:pPr>
        <w:spacing w:after="0" w:line="540" w:lineRule="exact"/>
        <w:jc w:val="center"/>
        <w:rPr>
          <w:rFonts w:ascii="黑体" w:hAnsi="黑体" w:eastAsia="黑体" w:cs="宋体"/>
          <w:sz w:val="44"/>
          <w:szCs w:val="44"/>
          <w:lang w:bidi="zh-TW"/>
        </w:rPr>
      </w:pPr>
      <w:r>
        <w:rPr>
          <w:rFonts w:hint="eastAsia" w:ascii="黑体" w:hAnsi="黑体" w:eastAsia="黑体" w:cs="宋体"/>
          <w:sz w:val="44"/>
          <w:szCs w:val="44"/>
          <w:lang w:bidi="zh-TW"/>
        </w:rPr>
        <w:t>国家重点保护野生植物补植作业设计表</w:t>
      </w:r>
    </w:p>
    <w:p>
      <w:pPr>
        <w:spacing w:after="0" w:line="540" w:lineRule="exact"/>
        <w:jc w:val="center"/>
        <w:rPr>
          <w:rFonts w:ascii="仿宋" w:hAnsi="仿宋" w:eastAsia="仿宋" w:cs="宋体"/>
          <w:sz w:val="32"/>
          <w:szCs w:val="32"/>
          <w:lang w:bidi="zh-TW"/>
        </w:rPr>
      </w:pPr>
    </w:p>
    <w:p>
      <w:pPr>
        <w:spacing w:after="0" w:line="540" w:lineRule="exact"/>
        <w:ind w:left="-992" w:leftChars="-451" w:right="-625" w:rightChars="-284"/>
        <w:rPr>
          <w:rFonts w:ascii="仿宋" w:hAnsi="仿宋" w:eastAsia="仿宋" w:cs="宋体"/>
          <w:sz w:val="24"/>
          <w:szCs w:val="24"/>
          <w:lang w:bidi="zh-TW"/>
        </w:rPr>
      </w:pPr>
      <w:r>
        <w:rPr>
          <w:rFonts w:hint="eastAsia" w:ascii="仿宋" w:hAnsi="仿宋" w:eastAsia="仿宋" w:cs="宋体"/>
          <w:sz w:val="24"/>
          <w:szCs w:val="24"/>
          <w:lang w:bidi="zh-TW"/>
        </w:rPr>
        <w:t>单位 （公章）：</w:t>
      </w:r>
      <w:r>
        <w:rPr>
          <w:rFonts w:hint="eastAsia" w:ascii="仿宋" w:hAnsi="仿宋" w:eastAsia="仿宋" w:cs="宋体"/>
          <w:sz w:val="32"/>
          <w:szCs w:val="32"/>
          <w:lang w:bidi="zh-TW"/>
        </w:rPr>
        <w:t xml:space="preserve">                                 </w:t>
      </w:r>
    </w:p>
    <w:tbl>
      <w:tblPr>
        <w:tblStyle w:val="5"/>
        <w:tblW w:w="9912" w:type="dxa"/>
        <w:tblInd w:w="-7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38"/>
        <w:gridCol w:w="475"/>
        <w:gridCol w:w="962"/>
        <w:gridCol w:w="938"/>
        <w:gridCol w:w="846"/>
        <w:gridCol w:w="851"/>
        <w:gridCol w:w="966"/>
        <w:gridCol w:w="846"/>
        <w:gridCol w:w="1199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2" w:type="dxa"/>
            <w:vMerge w:val="restart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乡镇（</w:t>
            </w: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林场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）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林班</w:t>
            </w:r>
          </w:p>
        </w:tc>
        <w:tc>
          <w:tcPr>
            <w:tcW w:w="475" w:type="dxa"/>
            <w:vMerge w:val="restart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小班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面积</w:t>
            </w:r>
          </w:p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（面积）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密度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 xml:space="preserve"> （株/公顷）</w:t>
            </w:r>
          </w:p>
        </w:tc>
        <w:tc>
          <w:tcPr>
            <w:tcW w:w="3509" w:type="dxa"/>
            <w:gridSpan w:val="4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树种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12" w:type="dxa"/>
            <w:vMerge w:val="continue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</w:p>
        </w:tc>
        <w:tc>
          <w:tcPr>
            <w:tcW w:w="475" w:type="dxa"/>
            <w:vMerge w:val="continue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红松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（株）</w:t>
            </w: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水曲柳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（株）</w:t>
            </w: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黄菠萝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（株）</w:t>
            </w: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紫椴</w:t>
            </w:r>
            <w:r>
              <w:rPr>
                <w:rFonts w:hint="eastAsia" w:ascii="黑体" w:hAnsi="黑体" w:eastAsia="黑体" w:cs="宋体"/>
                <w:sz w:val="21"/>
                <w:szCs w:val="21"/>
                <w:lang w:bidi="zh-TW"/>
              </w:rPr>
              <w:t>（株）</w:t>
            </w:r>
          </w:p>
        </w:tc>
        <w:tc>
          <w:tcPr>
            <w:tcW w:w="119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横坐标</w:t>
            </w:r>
          </w:p>
        </w:tc>
        <w:tc>
          <w:tcPr>
            <w:tcW w:w="117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宋体"/>
                <w:sz w:val="21"/>
                <w:szCs w:val="21"/>
                <w:lang w:bidi="zh-TW"/>
              </w:rPr>
            </w:pPr>
            <w:r>
              <w:rPr>
                <w:rFonts w:ascii="黑体" w:hAnsi="黑体" w:eastAsia="黑体" w:cs="宋体"/>
                <w:sz w:val="21"/>
                <w:szCs w:val="21"/>
                <w:lang w:bidi="zh-TW"/>
              </w:rPr>
              <w:t>纵坐标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ascii="仿宋" w:hAnsi="仿宋" w:eastAsia="仿宋" w:cs="宋体"/>
                <w:sz w:val="20"/>
                <w:szCs w:val="20"/>
                <w:lang w:bidi="zh-TW"/>
              </w:rPr>
              <w:t>合计</w:t>
            </w:r>
          </w:p>
        </w:tc>
        <w:tc>
          <w:tcPr>
            <w:tcW w:w="538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538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47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96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938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</w:t>
            </w: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***</w:t>
            </w:r>
          </w:p>
        </w:tc>
        <w:tc>
          <w:tcPr>
            <w:tcW w:w="117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  <w:lang w:bidi="zh-TW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1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after="0" w:line="540" w:lineRule="exact"/>
              <w:jc w:val="both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after="0" w:line="540" w:lineRule="exact"/>
              <w:jc w:val="center"/>
              <w:rPr>
                <w:rFonts w:ascii="仿宋" w:hAnsi="仿宋" w:eastAsia="仿宋" w:cs="宋体"/>
                <w:sz w:val="20"/>
                <w:szCs w:val="20"/>
                <w:lang w:bidi="zh-TW"/>
              </w:rPr>
            </w:pPr>
          </w:p>
        </w:tc>
      </w:tr>
    </w:tbl>
    <w:p>
      <w:pPr>
        <w:spacing w:after="0" w:line="540" w:lineRule="exact"/>
      </w:pPr>
    </w:p>
    <w:p>
      <w:pPr>
        <w:spacing w:line="220" w:lineRule="atLeast"/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8BD09"/>
    <w:multiLevelType w:val="singleLevel"/>
    <w:tmpl w:val="3F98BD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1,3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MyMGMzOTU0NDRjMDM2YzE3ZWEyN2NkYjk3NTQ5YWIifQ=="/>
  </w:docVars>
  <w:rsids>
    <w:rsidRoot w:val="00D31D50"/>
    <w:rsid w:val="000422C9"/>
    <w:rsid w:val="000643B6"/>
    <w:rsid w:val="001E786B"/>
    <w:rsid w:val="0022281D"/>
    <w:rsid w:val="00292A30"/>
    <w:rsid w:val="002C0689"/>
    <w:rsid w:val="002C6004"/>
    <w:rsid w:val="00323B43"/>
    <w:rsid w:val="003975AC"/>
    <w:rsid w:val="003D37D8"/>
    <w:rsid w:val="00426133"/>
    <w:rsid w:val="004358AB"/>
    <w:rsid w:val="004B4535"/>
    <w:rsid w:val="00502E29"/>
    <w:rsid w:val="005065A1"/>
    <w:rsid w:val="00587ED0"/>
    <w:rsid w:val="00606FA4"/>
    <w:rsid w:val="00634108"/>
    <w:rsid w:val="00676E6B"/>
    <w:rsid w:val="006E27BD"/>
    <w:rsid w:val="007578CC"/>
    <w:rsid w:val="00761112"/>
    <w:rsid w:val="007D1F88"/>
    <w:rsid w:val="008B7726"/>
    <w:rsid w:val="008D3085"/>
    <w:rsid w:val="0090712E"/>
    <w:rsid w:val="00933ADE"/>
    <w:rsid w:val="00967500"/>
    <w:rsid w:val="009B5103"/>
    <w:rsid w:val="00B34944"/>
    <w:rsid w:val="00BE0293"/>
    <w:rsid w:val="00C702A0"/>
    <w:rsid w:val="00D31D50"/>
    <w:rsid w:val="00F26F37"/>
    <w:rsid w:val="00F52E58"/>
    <w:rsid w:val="00F9257D"/>
    <w:rsid w:val="01326F3B"/>
    <w:rsid w:val="039E0C24"/>
    <w:rsid w:val="03C31EF6"/>
    <w:rsid w:val="0559114E"/>
    <w:rsid w:val="05F65778"/>
    <w:rsid w:val="06054EEC"/>
    <w:rsid w:val="060F2843"/>
    <w:rsid w:val="064C13A1"/>
    <w:rsid w:val="0781151E"/>
    <w:rsid w:val="0A0F00C3"/>
    <w:rsid w:val="0A745256"/>
    <w:rsid w:val="0A7730A5"/>
    <w:rsid w:val="0AD81455"/>
    <w:rsid w:val="0B2B6D34"/>
    <w:rsid w:val="0BB377CC"/>
    <w:rsid w:val="0C6E3F2E"/>
    <w:rsid w:val="0C920CA6"/>
    <w:rsid w:val="0DE57375"/>
    <w:rsid w:val="0F134EF8"/>
    <w:rsid w:val="0F267CCC"/>
    <w:rsid w:val="0FCB1589"/>
    <w:rsid w:val="10CD05FF"/>
    <w:rsid w:val="123576CA"/>
    <w:rsid w:val="14197D95"/>
    <w:rsid w:val="168626AD"/>
    <w:rsid w:val="16B9038D"/>
    <w:rsid w:val="19C724C7"/>
    <w:rsid w:val="1A9F5AEC"/>
    <w:rsid w:val="1AB33345"/>
    <w:rsid w:val="1C86682A"/>
    <w:rsid w:val="1CFF5672"/>
    <w:rsid w:val="200066B2"/>
    <w:rsid w:val="209239FD"/>
    <w:rsid w:val="20E22A24"/>
    <w:rsid w:val="21553FC7"/>
    <w:rsid w:val="239555EB"/>
    <w:rsid w:val="23EB1DA2"/>
    <w:rsid w:val="241E4826"/>
    <w:rsid w:val="24712E8C"/>
    <w:rsid w:val="25C32E19"/>
    <w:rsid w:val="267A740D"/>
    <w:rsid w:val="28870529"/>
    <w:rsid w:val="290C0B3D"/>
    <w:rsid w:val="29764C5B"/>
    <w:rsid w:val="2CBE0A71"/>
    <w:rsid w:val="2D0D3DDA"/>
    <w:rsid w:val="2D5C1EC4"/>
    <w:rsid w:val="2E7E7A98"/>
    <w:rsid w:val="2F2B5748"/>
    <w:rsid w:val="31614709"/>
    <w:rsid w:val="327445FA"/>
    <w:rsid w:val="34E21D93"/>
    <w:rsid w:val="34F605A6"/>
    <w:rsid w:val="360C5C1D"/>
    <w:rsid w:val="36E86488"/>
    <w:rsid w:val="37F25055"/>
    <w:rsid w:val="391C5CB1"/>
    <w:rsid w:val="3A95066C"/>
    <w:rsid w:val="3A9D074E"/>
    <w:rsid w:val="3B3F2CA7"/>
    <w:rsid w:val="3B9B7313"/>
    <w:rsid w:val="3E57542F"/>
    <w:rsid w:val="3E735FE5"/>
    <w:rsid w:val="40325D84"/>
    <w:rsid w:val="40491825"/>
    <w:rsid w:val="42925DB2"/>
    <w:rsid w:val="435E53D2"/>
    <w:rsid w:val="43E20674"/>
    <w:rsid w:val="4429786C"/>
    <w:rsid w:val="458D2861"/>
    <w:rsid w:val="462F3918"/>
    <w:rsid w:val="46FF32C7"/>
    <w:rsid w:val="4A8A06DB"/>
    <w:rsid w:val="4CE87A45"/>
    <w:rsid w:val="4E6323B1"/>
    <w:rsid w:val="4FE30908"/>
    <w:rsid w:val="50CA5A92"/>
    <w:rsid w:val="52981C68"/>
    <w:rsid w:val="538E721B"/>
    <w:rsid w:val="548360B4"/>
    <w:rsid w:val="55E83475"/>
    <w:rsid w:val="579D07AA"/>
    <w:rsid w:val="585039A6"/>
    <w:rsid w:val="5A221372"/>
    <w:rsid w:val="5AE14D89"/>
    <w:rsid w:val="5C855BE8"/>
    <w:rsid w:val="5C96060B"/>
    <w:rsid w:val="5E10223F"/>
    <w:rsid w:val="5EE03BB1"/>
    <w:rsid w:val="5EFD25BF"/>
    <w:rsid w:val="621A6DD3"/>
    <w:rsid w:val="62310F55"/>
    <w:rsid w:val="626E7BF8"/>
    <w:rsid w:val="63EC401D"/>
    <w:rsid w:val="64F32289"/>
    <w:rsid w:val="66BC66AA"/>
    <w:rsid w:val="6809591F"/>
    <w:rsid w:val="686F7E78"/>
    <w:rsid w:val="6F26325B"/>
    <w:rsid w:val="6FB940CF"/>
    <w:rsid w:val="71A36DE5"/>
    <w:rsid w:val="74EA7A1D"/>
    <w:rsid w:val="757B60D5"/>
    <w:rsid w:val="771340C5"/>
    <w:rsid w:val="77D23F80"/>
    <w:rsid w:val="785C7CED"/>
    <w:rsid w:val="79327FDC"/>
    <w:rsid w:val="7A0A5C53"/>
    <w:rsid w:val="7A8A28F0"/>
    <w:rsid w:val="7E8F4979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Heading #2|1"/>
    <w:basedOn w:val="1"/>
    <w:qFormat/>
    <w:uiPriority w:val="0"/>
    <w:pPr>
      <w:widowControl w:val="0"/>
      <w:adjustRightInd/>
      <w:snapToGrid/>
      <w:spacing w:after="280"/>
      <w:outlineLvl w:val="1"/>
    </w:pPr>
    <w:rPr>
      <w:rFonts w:ascii="宋体" w:hAnsi="宋体" w:eastAsia="宋体" w:cs="宋体"/>
      <w:color w:val="000000"/>
      <w:sz w:val="32"/>
      <w:szCs w:val="32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adjustRightInd/>
      <w:snapToGrid/>
      <w:spacing w:after="340"/>
      <w:ind w:firstLine="400"/>
    </w:pPr>
    <w:rPr>
      <w:rFonts w:ascii="宋体" w:hAnsi="宋体" w:eastAsia="宋体" w:cs="宋体"/>
      <w:color w:val="000000"/>
      <w:sz w:val="26"/>
      <w:szCs w:val="26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adjustRightInd/>
      <w:snapToGrid/>
      <w:spacing w:after="0"/>
    </w:pPr>
    <w:rPr>
      <w:rFonts w:ascii="宋体" w:hAnsi="宋体" w:eastAsia="宋体" w:cs="宋体"/>
      <w:color w:val="000000"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1160</Words>
  <Characters>1253</Characters>
  <Lines>33</Lines>
  <Paragraphs>9</Paragraphs>
  <TotalTime>8</TotalTime>
  <ScaleCrop>false</ScaleCrop>
  <LinksUpToDate>false</LinksUpToDate>
  <CharactersWithSpaces>1398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崔猛</cp:lastModifiedBy>
  <cp:lastPrinted>2022-09-30T06:28:00Z</cp:lastPrinted>
  <dcterms:modified xsi:type="dcterms:W3CDTF">2022-10-08T07:10:06Z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CD7BB0DFC67C48D0AF0036C0364B73A7</vt:lpwstr>
  </property>
</Properties>
</file>